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589" w:tblpY="3034"/>
        <w:tblW w:w="7522" w:type="dxa"/>
        <w:tblLook w:val="04A0" w:firstRow="1" w:lastRow="0" w:firstColumn="1" w:lastColumn="0" w:noHBand="0" w:noVBand="1"/>
      </w:tblPr>
      <w:tblGrid>
        <w:gridCol w:w="7522"/>
      </w:tblGrid>
      <w:tr w:rsidR="0093496C" w14:paraId="2E30B0BA" w14:textId="77777777" w:rsidTr="00D9561B">
        <w:trPr>
          <w:trHeight w:val="1514"/>
        </w:trPr>
        <w:tc>
          <w:tcPr>
            <w:tcW w:w="7522" w:type="dxa"/>
            <w:tcBorders>
              <w:top w:val="nil"/>
              <w:left w:val="nil"/>
              <w:bottom w:val="nil"/>
              <w:right w:val="nil"/>
            </w:tcBorders>
            <w:tcMar>
              <w:left w:w="0" w:type="dxa"/>
              <w:right w:w="0" w:type="dxa"/>
            </w:tcMar>
          </w:tcPr>
          <w:p w14:paraId="54340A8D" w14:textId="77777777" w:rsidR="00374412" w:rsidRDefault="008A0395" w:rsidP="00D9561B">
            <w:r>
              <w:t>De v</w:t>
            </w:r>
            <w:r w:rsidR="008E3932">
              <w:t>oorzitter van de Tweede Kamer der Staten-Generaal</w:t>
            </w:r>
          </w:p>
          <w:p w14:paraId="6B85A933" w14:textId="77777777" w:rsidR="00374412" w:rsidRDefault="008A0395" w:rsidP="00D9561B">
            <w:r>
              <w:t>Postbus 20018</w:t>
            </w:r>
          </w:p>
          <w:p w14:paraId="01B8EB8A" w14:textId="38A664B4" w:rsidR="008E3932" w:rsidRDefault="008A0395" w:rsidP="00D9561B">
            <w:r>
              <w:t>2500 EA DEN HAAG</w:t>
            </w:r>
          </w:p>
        </w:tc>
      </w:tr>
    </w:tbl>
    <w:tbl>
      <w:tblPr>
        <w:tblStyle w:val="TableGrid0"/>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8"/>
        <w:gridCol w:w="6572"/>
      </w:tblGrid>
      <w:tr w:rsidR="0093496C" w14:paraId="2C6EEBF6" w14:textId="77777777" w:rsidTr="00FA2B20">
        <w:trPr>
          <w:trHeight w:hRule="exact" w:val="289"/>
        </w:trPr>
        <w:tc>
          <w:tcPr>
            <w:tcW w:w="928" w:type="dxa"/>
          </w:tcPr>
          <w:p w14:paraId="1CF88DC4" w14:textId="77777777" w:rsidR="0005404B" w:rsidRPr="00434042" w:rsidRDefault="008A0395" w:rsidP="00FF66F9">
            <w:pPr>
              <w:rPr>
                <w:lang w:eastAsia="en-US"/>
              </w:rPr>
            </w:pPr>
            <w:r>
              <w:rPr>
                <w:lang w:eastAsia="en-US"/>
              </w:rPr>
              <w:t>Datum</w:t>
            </w:r>
          </w:p>
        </w:tc>
        <w:tc>
          <w:tcPr>
            <w:tcW w:w="6572" w:type="dxa"/>
          </w:tcPr>
          <w:p w14:paraId="0663598B" w14:textId="7F8C51C9" w:rsidR="0005404B" w:rsidRPr="00434042" w:rsidRDefault="00611855" w:rsidP="00FF66F9">
            <w:pPr>
              <w:rPr>
                <w:lang w:eastAsia="en-US"/>
              </w:rPr>
            </w:pPr>
            <w:r>
              <w:rPr>
                <w:lang w:eastAsia="en-US"/>
              </w:rPr>
              <w:t>11 april 2023</w:t>
            </w:r>
          </w:p>
        </w:tc>
      </w:tr>
      <w:tr w:rsidR="0093496C" w14:paraId="31D3BD05" w14:textId="77777777" w:rsidTr="00FA2B20">
        <w:trPr>
          <w:trHeight w:val="368"/>
        </w:trPr>
        <w:tc>
          <w:tcPr>
            <w:tcW w:w="928" w:type="dxa"/>
          </w:tcPr>
          <w:p w14:paraId="365EF444" w14:textId="77777777" w:rsidR="0005404B" w:rsidRDefault="008A0395" w:rsidP="00FF66F9">
            <w:pPr>
              <w:rPr>
                <w:lang w:eastAsia="en-US"/>
              </w:rPr>
            </w:pPr>
            <w:r>
              <w:rPr>
                <w:lang w:eastAsia="en-US"/>
              </w:rPr>
              <w:t>Betreft</w:t>
            </w:r>
          </w:p>
        </w:tc>
        <w:tc>
          <w:tcPr>
            <w:tcW w:w="6572" w:type="dxa"/>
          </w:tcPr>
          <w:p w14:paraId="73CD9B82" w14:textId="623F0776" w:rsidR="0005404B" w:rsidRDefault="008A0395" w:rsidP="00FF66F9">
            <w:pPr>
              <w:rPr>
                <w:lang w:eastAsia="en-US"/>
              </w:rPr>
            </w:pPr>
            <w:r>
              <w:rPr>
                <w:lang w:eastAsia="en-US"/>
              </w:rPr>
              <w:t>Toekenning €</w:t>
            </w:r>
            <w:r w:rsidR="00283258">
              <w:rPr>
                <w:lang w:eastAsia="en-US"/>
              </w:rPr>
              <w:t xml:space="preserve"> </w:t>
            </w:r>
            <w:r>
              <w:rPr>
                <w:lang w:eastAsia="en-US"/>
              </w:rPr>
              <w:t xml:space="preserve">200 miljoen structureel aan sectorplanmiddelen </w:t>
            </w:r>
          </w:p>
        </w:tc>
      </w:tr>
    </w:tbl>
    <w:p w14:paraId="685EA426" w14:textId="75BE216C" w:rsidR="00F0181B" w:rsidRDefault="00F0181B" w:rsidP="00F0181B">
      <w:r w:rsidRPr="00FA2B20">
        <w:t xml:space="preserve">Zoals aangegeven in mijn beleidsbrief van 17 juni </w:t>
      </w:r>
      <w:r>
        <w:t>2022</w:t>
      </w:r>
      <w:r w:rsidRPr="00FA2B20">
        <w:t xml:space="preserve"> zet het kabinet zich in voor een gezond en duurzaam stelsel van hoger onderwijs en wetenschap, met rust en ruimte voor studenten, onderzoekers en docenten. Daarom investeert dit kabinet onder meer € 200 miljoen structureel in sectorplannen, om de basis voor wetenschappelijk onderwijs en onderzoek gericht en duurzaam te versterken vanuit een overkoepelend nationaal perspectief.</w:t>
      </w: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93496C" w14:paraId="0CF4C96D" w14:textId="77777777" w:rsidTr="00A421A1">
        <w:tc>
          <w:tcPr>
            <w:tcW w:w="2160" w:type="dxa"/>
          </w:tcPr>
          <w:p w14:paraId="6467A8CF" w14:textId="77777777" w:rsidR="006205C0" w:rsidRPr="00F53C9D" w:rsidRDefault="008A0395" w:rsidP="00686AED">
            <w:pPr>
              <w:pStyle w:val="Colofonkop"/>
              <w:framePr w:hSpace="0" w:wrap="auto" w:vAnchor="margin" w:hAnchor="text" w:xAlign="left" w:yAlign="inline"/>
            </w:pPr>
            <w:r>
              <w:t>Onderzoek en Wetenschapsbeleid</w:t>
            </w:r>
          </w:p>
          <w:p w14:paraId="77C40B73" w14:textId="77777777" w:rsidR="006205C0" w:rsidRDefault="008A0395" w:rsidP="00A421A1">
            <w:pPr>
              <w:pStyle w:val="Huisstijl-Gegeven"/>
              <w:spacing w:after="0"/>
            </w:pPr>
            <w:r>
              <w:t xml:space="preserve">Rijnstraat 50 </w:t>
            </w:r>
          </w:p>
          <w:p w14:paraId="36F83D74" w14:textId="77777777" w:rsidR="004425A7" w:rsidRDefault="008A0395" w:rsidP="00E972A2">
            <w:pPr>
              <w:pStyle w:val="Huisstijl-Gegeven"/>
              <w:spacing w:after="0"/>
            </w:pPr>
            <w:r>
              <w:t>Den Haag</w:t>
            </w:r>
          </w:p>
          <w:p w14:paraId="6C5A5C96" w14:textId="77777777" w:rsidR="004425A7" w:rsidRDefault="008A0395" w:rsidP="00E972A2">
            <w:pPr>
              <w:pStyle w:val="Huisstijl-Gegeven"/>
              <w:spacing w:after="0"/>
            </w:pPr>
            <w:r>
              <w:t>Postbus 16375</w:t>
            </w:r>
          </w:p>
          <w:p w14:paraId="619ED157" w14:textId="77777777" w:rsidR="004425A7" w:rsidRDefault="008A0395" w:rsidP="00E972A2">
            <w:pPr>
              <w:pStyle w:val="Huisstijl-Gegeven"/>
              <w:spacing w:after="0"/>
            </w:pPr>
            <w:r>
              <w:t>2500 BJ Den Haag</w:t>
            </w:r>
          </w:p>
          <w:p w14:paraId="61477232" w14:textId="0AEBD4DA" w:rsidR="006205C0" w:rsidRPr="001B7D91" w:rsidRDefault="008A0395" w:rsidP="001B7D91">
            <w:pPr>
              <w:pStyle w:val="Huisstijl-Gegeven"/>
              <w:spacing w:after="90"/>
            </w:pPr>
            <w:r>
              <w:t>www.rijksoverheid.nl</w:t>
            </w:r>
          </w:p>
        </w:tc>
      </w:tr>
      <w:tr w:rsidR="0093496C" w14:paraId="37A62BAB" w14:textId="77777777" w:rsidTr="00A421A1">
        <w:trPr>
          <w:trHeight w:val="450"/>
        </w:trPr>
        <w:tc>
          <w:tcPr>
            <w:tcW w:w="2160" w:type="dxa"/>
          </w:tcPr>
          <w:p w14:paraId="07DBD1B3" w14:textId="77777777" w:rsidR="00F51A76" w:rsidRDefault="008A0395" w:rsidP="00A421A1">
            <w:pPr>
              <w:spacing w:line="180" w:lineRule="exact"/>
              <w:rPr>
                <w:b/>
                <w:sz w:val="13"/>
                <w:szCs w:val="13"/>
              </w:rPr>
            </w:pPr>
            <w:r>
              <w:rPr>
                <w:b/>
                <w:sz w:val="13"/>
                <w:szCs w:val="13"/>
              </w:rPr>
              <w:t>Onze referentie</w:t>
            </w:r>
          </w:p>
          <w:p w14:paraId="1708620C" w14:textId="77777777" w:rsidR="006205C0" w:rsidRPr="00FA7882" w:rsidRDefault="008A0395" w:rsidP="00215356">
            <w:pPr>
              <w:spacing w:line="180" w:lineRule="exact"/>
              <w:rPr>
                <w:sz w:val="13"/>
                <w:szCs w:val="13"/>
              </w:rPr>
            </w:pPr>
            <w:r>
              <w:rPr>
                <w:sz w:val="13"/>
                <w:szCs w:val="13"/>
              </w:rPr>
              <w:t>36997036</w:t>
            </w:r>
          </w:p>
        </w:tc>
      </w:tr>
      <w:tr w:rsidR="0093496C" w14:paraId="227245E1" w14:textId="77777777" w:rsidTr="00D130C0">
        <w:trPr>
          <w:trHeight w:val="113"/>
        </w:trPr>
        <w:tc>
          <w:tcPr>
            <w:tcW w:w="2160" w:type="dxa"/>
          </w:tcPr>
          <w:p w14:paraId="7CE619A2" w14:textId="77777777" w:rsidR="006205C0" w:rsidRPr="00C5333A" w:rsidRDefault="008A0395" w:rsidP="00D36088">
            <w:pPr>
              <w:tabs>
                <w:tab w:val="center" w:pos="1080"/>
              </w:tabs>
              <w:spacing w:line="180" w:lineRule="exact"/>
              <w:rPr>
                <w:sz w:val="13"/>
                <w:szCs w:val="13"/>
              </w:rPr>
            </w:pPr>
            <w:r>
              <w:rPr>
                <w:b/>
                <w:sz w:val="13"/>
                <w:szCs w:val="13"/>
              </w:rPr>
              <w:t>Bijlagen</w:t>
            </w:r>
          </w:p>
        </w:tc>
      </w:tr>
      <w:tr w:rsidR="0093496C" w14:paraId="429F9A1A" w14:textId="77777777" w:rsidTr="00D130C0">
        <w:trPr>
          <w:trHeight w:val="113"/>
        </w:trPr>
        <w:tc>
          <w:tcPr>
            <w:tcW w:w="2160" w:type="dxa"/>
          </w:tcPr>
          <w:p w14:paraId="45E5B00B" w14:textId="77777777" w:rsidR="00366576" w:rsidRPr="0089595A" w:rsidRDefault="00366576" w:rsidP="0089595A">
            <w:pPr>
              <w:spacing w:after="90" w:line="180" w:lineRule="exact"/>
              <w:rPr>
                <w:sz w:val="13"/>
              </w:rPr>
            </w:pPr>
            <w:r w:rsidRPr="0089595A">
              <w:rPr>
                <w:sz w:val="13"/>
              </w:rPr>
              <w:t>Kader voor sectorplannen</w:t>
            </w:r>
          </w:p>
          <w:p w14:paraId="179F6A25" w14:textId="77777777" w:rsidR="00366576" w:rsidRPr="0089595A" w:rsidRDefault="00366576" w:rsidP="0089595A">
            <w:pPr>
              <w:spacing w:after="90" w:line="180" w:lineRule="exact"/>
              <w:rPr>
                <w:sz w:val="13"/>
              </w:rPr>
            </w:pPr>
            <w:r w:rsidRPr="0089595A">
              <w:rPr>
                <w:sz w:val="13"/>
              </w:rPr>
              <w:t>Adviesbrief aan Minister Dijkgraaf NCSP</w:t>
            </w:r>
          </w:p>
          <w:p w14:paraId="14EF7D1E" w14:textId="18B1F949" w:rsidR="006205C0" w:rsidRPr="00D74F66" w:rsidRDefault="006205C0" w:rsidP="00A421A1">
            <w:pPr>
              <w:spacing w:after="90" w:line="180" w:lineRule="exact"/>
              <w:rPr>
                <w:sz w:val="13"/>
              </w:rPr>
            </w:pPr>
          </w:p>
        </w:tc>
      </w:tr>
    </w:tbl>
    <w:p w14:paraId="7FE7A5BE" w14:textId="77777777" w:rsidR="00215356" w:rsidRDefault="00215356"/>
    <w:p w14:paraId="5A1C4837" w14:textId="77777777" w:rsidR="00F0181B" w:rsidRDefault="00F0181B" w:rsidP="00F0181B">
      <w:r>
        <w:t>In september 2022 heb ik n</w:t>
      </w:r>
      <w:r w:rsidRPr="00FA2B20">
        <w:t>a advies van de onafhankelijke Nationale Commissie Sectorplannen (NCSP) de eerste € 60 miljoen structureel toegekend</w:t>
      </w:r>
      <w:r>
        <w:t xml:space="preserve"> aan de Nederlandse universiteiten en umc’s. Met deze brief ken ik de resterende € 140 miljoen structureel toe aan </w:t>
      </w:r>
      <w:r w:rsidRPr="00FA2B20">
        <w:t xml:space="preserve">alle vier de domeinen, te weten </w:t>
      </w:r>
      <w:r w:rsidRPr="001739E3">
        <w:t xml:space="preserve">Bèta, Techniek, Sociale </w:t>
      </w:r>
      <w:r>
        <w:t>en</w:t>
      </w:r>
      <w:r w:rsidRPr="001739E3">
        <w:t xml:space="preserve"> Geesteswetenschappen, en Medische </w:t>
      </w:r>
      <w:r>
        <w:t>en</w:t>
      </w:r>
      <w:r w:rsidRPr="001739E3">
        <w:t xml:space="preserve"> Gezondheidswetenschappen</w:t>
      </w:r>
      <w:r w:rsidRPr="00FA2B20">
        <w:t>.</w:t>
      </w:r>
      <w:r>
        <w:t xml:space="preserve"> Daarmee zijn de totale </w:t>
      </w:r>
      <w:r w:rsidRPr="00FA2B20">
        <w:t>€ 200 miljoen</w:t>
      </w:r>
      <w:r>
        <w:t xml:space="preserve"> </w:t>
      </w:r>
      <w:r>
        <w:rPr>
          <w:lang w:eastAsia="en-US"/>
        </w:rPr>
        <w:t>aan sectorplanmiddelen</w:t>
      </w:r>
      <w:r w:rsidRPr="00FA2B20">
        <w:t xml:space="preserve"> structureel</w:t>
      </w:r>
      <w:r>
        <w:t xml:space="preserve"> toegekend. Ik vind het van belang om in alle domeinen te investeren om daarmee de gehele basis van onderzoek en onderwijs te versterken. Ik ben trots op dit mooie resultaat waarmee we zorgen voor meer rust en ruimte voor wetenschappelijk talent en de versterking van het fundament. Dit hebben we enkel kunnen bereiken door de grote inspanning vanuit alle stakeholders.</w:t>
      </w:r>
    </w:p>
    <w:p w14:paraId="0A0B443E" w14:textId="77777777" w:rsidR="00F0181B" w:rsidRDefault="00F0181B" w:rsidP="00F0181B"/>
    <w:p w14:paraId="6D45C554" w14:textId="77777777" w:rsidR="00F0181B" w:rsidRPr="000D64C2" w:rsidRDefault="00F0181B" w:rsidP="00F0181B">
      <w:pPr>
        <w:rPr>
          <w:b/>
          <w:bCs/>
        </w:rPr>
      </w:pPr>
      <w:r>
        <w:rPr>
          <w:b/>
          <w:bCs/>
        </w:rPr>
        <w:t>Advies van de NCSP en besluit over toekenning middelen</w:t>
      </w:r>
    </w:p>
    <w:p w14:paraId="28B01A4F" w14:textId="77777777" w:rsidR="00F0181B" w:rsidRDefault="00F0181B" w:rsidP="00F0181B">
      <w:r>
        <w:t xml:space="preserve">Om een goede inhoudelijke en onafhankelijke weging te kunnen maken in de prioritering en daarmee de verdeling van de sectorplanmiddelen heb ik </w:t>
      </w:r>
      <w:r w:rsidRPr="00FB13B2">
        <w:t xml:space="preserve">per 1 juli </w:t>
      </w:r>
      <w:r>
        <w:t xml:space="preserve">2022 een Nationale Commissie Sectorplannen (NCSP) ingesteld. De NCSP heeft als taak mij van onafhankelijk advies te voorzien over de kwaliteit van de domein- en sectorbeelden en de sectorplannen, de inzet van de middelen in landelijk gekozen zwaartepunten, de aanpak van monitoring en evaluatie en het instrument als geheel. </w:t>
      </w:r>
    </w:p>
    <w:p w14:paraId="06EE06AB" w14:textId="77777777" w:rsidR="00F0181B" w:rsidRDefault="00F0181B" w:rsidP="00F0181B"/>
    <w:p w14:paraId="748289E9" w14:textId="4EF1EDDA" w:rsidR="00F0181B" w:rsidRDefault="00F0181B" w:rsidP="00F0181B">
      <w:r>
        <w:t>In mijn Kamerbrief van 5 oktober 2022, inzake de toekenning van de eerste €</w:t>
      </w:r>
      <w:r w:rsidR="007B5E93">
        <w:t xml:space="preserve"> </w:t>
      </w:r>
      <w:r>
        <w:t>60 miljoen structureel aan de sectorplannen</w:t>
      </w:r>
      <w:r>
        <w:rPr>
          <w:rStyle w:val="FootnoteReference"/>
        </w:rPr>
        <w:footnoteReference w:id="1"/>
      </w:r>
      <w:r>
        <w:t xml:space="preserve">, heb ik toegelicht hoe de werkwijze van de NCSP eruit ziet en aangekondigd dat uiterlijk in maart 2023 de NCSP haar </w:t>
      </w:r>
      <w:r>
        <w:lastRenderedPageBreak/>
        <w:t>tweede advies uit zal brengen over de verdeling van de resterende structurele middelen, evenals de monitoring en evaluatie.</w:t>
      </w:r>
    </w:p>
    <w:p w14:paraId="4EF1ADE6" w14:textId="77777777" w:rsidR="00F0181B" w:rsidRDefault="00F0181B" w:rsidP="00F0181B">
      <w:r w:rsidRPr="00CE6699">
        <w:rPr>
          <w:rStyle w:val="FootnoteReference"/>
        </w:rPr>
        <w:t xml:space="preserve"> </w:t>
      </w:r>
    </w:p>
    <w:p w14:paraId="24F60957" w14:textId="77777777" w:rsidR="00857783" w:rsidRDefault="00F0181B" w:rsidP="00F0181B">
      <w:r>
        <w:t xml:space="preserve">Het advies van de NCSP </w:t>
      </w:r>
      <w:r w:rsidRPr="00317B66">
        <w:t xml:space="preserve">over de definitieve sectorplannen </w:t>
      </w:r>
      <w:r>
        <w:t>heb ik inmiddels ontvangen.</w:t>
      </w:r>
      <w:r w:rsidRPr="00317B66">
        <w:t xml:space="preserve"> </w:t>
      </w:r>
      <w:r>
        <w:t xml:space="preserve">Ik ben de commissie hiervoor zeer erkentelijk. </w:t>
      </w:r>
      <w:r w:rsidRPr="00363E76">
        <w:t xml:space="preserve">De </w:t>
      </w:r>
      <w:r>
        <w:t>NCSP</w:t>
      </w:r>
      <w:r w:rsidRPr="00363E76">
        <w:t xml:space="preserve"> heeft haar advies zorgvuldig samengesteld</w:t>
      </w:r>
      <w:r>
        <w:t xml:space="preserve">. </w:t>
      </w:r>
    </w:p>
    <w:p w14:paraId="3FA35888" w14:textId="77777777" w:rsidR="00857783" w:rsidRDefault="00857783" w:rsidP="00F0181B"/>
    <w:p w14:paraId="40422C16" w14:textId="77777777" w:rsidR="00857783" w:rsidRDefault="00857783" w:rsidP="00857783">
      <w:r w:rsidRPr="00CA18AC">
        <w:t>In het advies concludeert de commissie dat</w:t>
      </w:r>
      <w:r>
        <w:t xml:space="preserve"> de</w:t>
      </w:r>
      <w:r w:rsidRPr="00593E04">
        <w:t xml:space="preserve"> landelijke afspraken het onderwijs en onderzoek over de gehele linie</w:t>
      </w:r>
      <w:r>
        <w:t xml:space="preserve"> versterken. Daarnaast stimuleren d</w:t>
      </w:r>
      <w:r w:rsidRPr="00CA18AC">
        <w:t>e sectorplannen landelijke samenwerking en dat er scherpe keuzes worden gemaakt</w:t>
      </w:r>
      <w:r>
        <w:t>, zoals bij</w:t>
      </w:r>
      <w:r w:rsidRPr="00CA18AC">
        <w:t xml:space="preserve"> </w:t>
      </w:r>
      <w:r>
        <w:t>de inzet op duurzame energie in het sectorplan Bèta, m</w:t>
      </w:r>
      <w:r w:rsidRPr="00CA18AC">
        <w:t>edische robotica</w:t>
      </w:r>
      <w:r>
        <w:t xml:space="preserve"> binnen het sectorplan Techniek</w:t>
      </w:r>
      <w:r w:rsidRPr="00CA18AC">
        <w:t>, en</w:t>
      </w:r>
      <w:r>
        <w:t xml:space="preserve"> bij het sectorplan </w:t>
      </w:r>
      <w:r w:rsidRPr="001739E3">
        <w:t xml:space="preserve">Sociale </w:t>
      </w:r>
      <w:r>
        <w:t>en</w:t>
      </w:r>
      <w:r w:rsidRPr="001739E3">
        <w:t xml:space="preserve"> Geesteswetenschappen</w:t>
      </w:r>
      <w:r>
        <w:t xml:space="preserve"> op </w:t>
      </w:r>
      <w:r w:rsidRPr="00CA18AC">
        <w:t>het thema Maatschappelijke transitie en gedragsverandering</w:t>
      </w:r>
      <w:r>
        <w:t>. Daarnaast wordt ingezet op datagedreven innovatie in het sectorplan Geneeskunde en Gezondheidswetenschappen.</w:t>
      </w:r>
      <w:r w:rsidRPr="00CA18AC">
        <w:t xml:space="preserve"> </w:t>
      </w:r>
    </w:p>
    <w:p w14:paraId="45A216E4" w14:textId="77777777" w:rsidR="00857783" w:rsidRDefault="00857783" w:rsidP="00857783">
      <w:r w:rsidRPr="00593E04">
        <w:t xml:space="preserve">De NCSP sprak daarnaast speciale waardering uit voor het sectorplan Talen &amp; Culturen waarin extra wordt geïnvesteerd </w:t>
      </w:r>
      <w:r>
        <w:t xml:space="preserve">in </w:t>
      </w:r>
      <w:r w:rsidRPr="00593E04">
        <w:t xml:space="preserve">de moderne (school)talen en </w:t>
      </w:r>
      <w:r>
        <w:t xml:space="preserve">wordt ingezet op vernieuwing van het onderwijs, versterking van de samenwerking en een betere toegang tot de lerarenopleidingen. Zo wordt toegewerkt naar </w:t>
      </w:r>
      <w:r w:rsidRPr="00593E04">
        <w:t xml:space="preserve">een gezamenlijk landelijk </w:t>
      </w:r>
      <w:r>
        <w:t>(bachelor)</w:t>
      </w:r>
      <w:r w:rsidRPr="00593E04">
        <w:t xml:space="preserve">programma </w:t>
      </w:r>
      <w:r>
        <w:t xml:space="preserve">per taal </w:t>
      </w:r>
      <w:r w:rsidRPr="00593E04">
        <w:t>voor de tekortvakken Frans en Duits</w:t>
      </w:r>
      <w:r>
        <w:t xml:space="preserve"> en versterking van de samenwerking tussen de opleidingen Nederlandse Taal en Cultuur</w:t>
      </w:r>
      <w:r w:rsidRPr="00593E04">
        <w:t xml:space="preserve">. Op deze manier </w:t>
      </w:r>
      <w:r>
        <w:t>kan</w:t>
      </w:r>
      <w:r w:rsidRPr="00593E04">
        <w:t xml:space="preserve"> de kwaliteit van deze opleidingen</w:t>
      </w:r>
      <w:r>
        <w:t xml:space="preserve"> worden verbeterd</w:t>
      </w:r>
      <w:r w:rsidRPr="00593E04">
        <w:t>, en wordt geborgd dat er voldoende taalspecifiek aanbod beschikbaar blijft</w:t>
      </w:r>
      <w:r>
        <w:t>.</w:t>
      </w:r>
      <w:r w:rsidRPr="00593E04">
        <w:t xml:space="preserve"> Door deze inzet en de inzet om talige expertise in te bedden in andere, </w:t>
      </w:r>
      <w:r>
        <w:t>groeiende brede</w:t>
      </w:r>
      <w:r w:rsidRPr="00593E04">
        <w:t xml:space="preserve"> opleidingen en de toegang tot de lerarenopleiding te verbreden, kan een substantieel groter potentieel </w:t>
      </w:r>
      <w:r>
        <w:t>aan bachelor- en masterstudenten</w:t>
      </w:r>
    </w:p>
    <w:p w14:paraId="7D2DF1F6" w14:textId="23E4510E" w:rsidR="00F0181B" w:rsidRDefault="00857783" w:rsidP="00857783">
      <w:r>
        <w:t xml:space="preserve">en zo </w:t>
      </w:r>
      <w:r w:rsidRPr="00593E04">
        <w:t>aan leraren Nederlands, Duits en Frans worden gecreëerd.</w:t>
      </w:r>
    </w:p>
    <w:p w14:paraId="0906506B" w14:textId="659299EF" w:rsidR="00857783" w:rsidRDefault="00857783" w:rsidP="00857783"/>
    <w:p w14:paraId="44284D00" w14:textId="315AD7A5" w:rsidR="00857783" w:rsidRDefault="00857783" w:rsidP="00857783">
      <w:r>
        <w:t xml:space="preserve">De NCSP geeft waardevolle beelden mee voor de toekomstige ontwikkeling van de domeinen. Het is aan de domeinen om hier verder over in gesprek te gaan met alle betrokkenen en hier invulling aan te geven in de geest van deze beelden. </w:t>
      </w:r>
    </w:p>
    <w:p w14:paraId="0C647BF5" w14:textId="77777777" w:rsidR="00857783" w:rsidRDefault="00857783" w:rsidP="00857783"/>
    <w:p w14:paraId="66A87775" w14:textId="77777777" w:rsidR="00F0181B" w:rsidRDefault="00F0181B" w:rsidP="00F0181B">
      <w:r>
        <w:t xml:space="preserve">De NCSP </w:t>
      </w:r>
      <w:r w:rsidRPr="00363E76">
        <w:t>adviseert positief ten aanzien van toekenning van de middelen (€ 140 miljoen).</w:t>
      </w:r>
      <w:bookmarkStart w:id="0" w:name="_Hlk129606497"/>
      <w:r>
        <w:t xml:space="preserve"> De commissie is van mening dat h</w:t>
      </w:r>
      <w:r w:rsidRPr="00A01463">
        <w:t>et instrument sectorplan</w:t>
      </w:r>
      <w:r>
        <w:t>nen</w:t>
      </w:r>
      <w:r w:rsidRPr="00A01463">
        <w:t xml:space="preserve"> over de breedte van het Nederlandse wetenschapsbestel </w:t>
      </w:r>
      <w:r>
        <w:t>leidt</w:t>
      </w:r>
      <w:r w:rsidRPr="00A01463">
        <w:t xml:space="preserve"> tot landelijke strategievorming en samenwerking. De voorgestelde investeringen dragen </w:t>
      </w:r>
      <w:r>
        <w:t xml:space="preserve">naar de mening van de NCSP </w:t>
      </w:r>
      <w:r w:rsidRPr="00A01463">
        <w:t>vanuit een overkoepelend nationaal perspectief op een unieke wijze bij aan het toekomstbestendig maken van het stelsel van hoger onderwijs en onderzoek.</w:t>
      </w:r>
      <w:r>
        <w:t xml:space="preserve"> Er zijn plannen gemaakt om </w:t>
      </w:r>
      <w:r w:rsidRPr="00A01463">
        <w:t>in het hele systeem</w:t>
      </w:r>
      <w:r>
        <w:t xml:space="preserve"> te zorgen voor meer rust en ruimte d</w:t>
      </w:r>
      <w:r w:rsidRPr="00A01463">
        <w:t>oor profilering</w:t>
      </w:r>
      <w:r>
        <w:t xml:space="preserve">, </w:t>
      </w:r>
      <w:r w:rsidRPr="00A01463">
        <w:t>interfacultaire samenwerking en taakverdeling op het gebied van zowel onderwijs als onderzoek</w:t>
      </w:r>
      <w:r>
        <w:t>, en om</w:t>
      </w:r>
      <w:r w:rsidRPr="00A01463">
        <w:t xml:space="preserve"> de kwaliteit van onderzoek en onderwijs </w:t>
      </w:r>
      <w:r>
        <w:t>te versterken</w:t>
      </w:r>
      <w:r w:rsidRPr="00A01463">
        <w:t xml:space="preserve">. </w:t>
      </w:r>
      <w:r>
        <w:t>Deze rust en ruimte moet zorgen voor het terugdringen van de werkdruk en bijdragen aan talentontwikkeling.</w:t>
      </w:r>
    </w:p>
    <w:p w14:paraId="67FB9E8A" w14:textId="77777777" w:rsidR="00F0181B" w:rsidRDefault="00F0181B" w:rsidP="00F0181B"/>
    <w:p w14:paraId="3AFE0892" w14:textId="27BFFBFB" w:rsidR="00F0181B" w:rsidRDefault="00F0181B" w:rsidP="00F0181B">
      <w:r w:rsidRPr="00363E76">
        <w:t>Deze positieve conclusies sluiten aan bij de</w:t>
      </w:r>
      <w:r>
        <w:t xml:space="preserve"> door mij</w:t>
      </w:r>
      <w:r w:rsidRPr="00363E76">
        <w:t xml:space="preserve"> gestelde eisen in het kader</w:t>
      </w:r>
      <w:r w:rsidR="0089595A">
        <w:t xml:space="preserve"> (zie bijlage)</w:t>
      </w:r>
      <w:r w:rsidRPr="00363E76">
        <w:t xml:space="preserve"> voor de sectorplannen</w:t>
      </w:r>
      <w:r>
        <w:t xml:space="preserve"> op basis waarvan de verschillende sectorplanen zijn opgesteld.</w:t>
      </w:r>
      <w:bookmarkStart w:id="1" w:name="_Hlk131676800"/>
      <w:r w:rsidR="00857783">
        <w:t xml:space="preserve"> Ik neem het advies van de NCSP betreffende de verdeling van de toekenning van de middelen dan ook over, op basis van de ingediende sectorplannen en ken bij deze de middelen voor de sectorplannen als geheel toe. </w:t>
      </w:r>
      <w:bookmarkEnd w:id="1"/>
      <w:r>
        <w:t>Vanaf deze toekenning kan dus gestart worden met de uitvoer</w:t>
      </w:r>
      <w:r w:rsidR="00AC2D87">
        <w:t>ing</w:t>
      </w:r>
      <w:r>
        <w:t xml:space="preserve"> van de volledige sectorplannen.</w:t>
      </w:r>
    </w:p>
    <w:p w14:paraId="3E9BAD38" w14:textId="77777777" w:rsidR="00F0181B" w:rsidRDefault="00F0181B" w:rsidP="00F0181B"/>
    <w:p w14:paraId="7551118F" w14:textId="3B0DB7E2" w:rsidR="00F0181B" w:rsidRDefault="00F0181B" w:rsidP="00F0181B">
      <w:r>
        <w:t>D</w:t>
      </w:r>
      <w:r w:rsidRPr="009B13AC">
        <w:t xml:space="preserve">esalniettemin </w:t>
      </w:r>
      <w:r>
        <w:t xml:space="preserve">vraagt de commissie ook </w:t>
      </w:r>
      <w:r w:rsidRPr="009B13AC">
        <w:t>aandacht</w:t>
      </w:r>
      <w:r>
        <w:t xml:space="preserve"> voor enkele </w:t>
      </w:r>
      <w:r w:rsidRPr="009B13AC">
        <w:t>punten</w:t>
      </w:r>
      <w:r>
        <w:t xml:space="preserve"> in de daadwerkelijke uitvoering van de sectorplannen</w:t>
      </w:r>
      <w:r w:rsidRPr="009B13AC">
        <w:t>. Voor alle domeinen geldt dat</w:t>
      </w:r>
      <w:r>
        <w:t xml:space="preserve"> de sectorplannen een grote, positieve impact kunnen betekenen voor de medewerkers aan universiteiten en umc’s, onder andere waar het gaat om het creëren van rust en ruimte. Ik heb bij de toekenningen aan de universiteiten en umc’s daarom, in navolging van uw Kamer, gewezen op het belang dat de medewerkers ook goed meegenomen moeten worden in de implementatie van de plannen, en daarbij ruimte moet worden geboden aan hun inbreng en de betrokkenheid van medezeggenschap. Ook wijs ik er nogmaals op dat deze sectorplanmiddelen dienen te worden ingezet voor zowel onderzoek als onderwijs. Daarnaast is het van belang dat er resultaten geboekt worden ten aanzien van de ambities op diversiteit, ook in relatie tot de uitdagingen rondom de internationalisering. Verder zullen de monitoringscommissies de komende jaren in gesprek blijven met de indieners van de sectorplannen en monitoren op de kritieke prestatie indicatoren en de gebalanceerde ingezet voor zowel onderzoek als onderwijs. Tot slot moet er bij de uitvoer</w:t>
      </w:r>
      <w:r w:rsidR="007C1B52">
        <w:t>ing</w:t>
      </w:r>
      <w:r>
        <w:t xml:space="preserve"> rekening gehouden worden met de brede doelstellingen in het hoger onderwijs en wetenschapsbeleid. </w:t>
      </w:r>
    </w:p>
    <w:bookmarkEnd w:id="0"/>
    <w:p w14:paraId="4696E904" w14:textId="77777777" w:rsidR="007C1B52" w:rsidRDefault="007C1B52" w:rsidP="00F0181B">
      <w:pPr>
        <w:rPr>
          <w:b/>
          <w:bCs/>
        </w:rPr>
      </w:pPr>
    </w:p>
    <w:p w14:paraId="390D6E0D" w14:textId="588021A0" w:rsidR="00F0181B" w:rsidRDefault="00F0181B" w:rsidP="00F0181B">
      <w:pPr>
        <w:rPr>
          <w:b/>
          <w:bCs/>
        </w:rPr>
      </w:pPr>
      <w:r>
        <w:rPr>
          <w:b/>
          <w:bCs/>
        </w:rPr>
        <w:t>Monitoring en het vervolg proces</w:t>
      </w:r>
    </w:p>
    <w:p w14:paraId="6A637648" w14:textId="156D9847" w:rsidR="00F0181B" w:rsidRDefault="00F0181B" w:rsidP="00F0181B">
      <w:r>
        <w:t xml:space="preserve">Met deze toekenning start de volgende fase, waarbij de focus ligt op de uitvoering van de sectorplannen en de daarbij behorende monitoring en evaluatie. </w:t>
      </w:r>
      <w:r w:rsidRPr="008A0395">
        <w:t>Verantwoording over</w:t>
      </w:r>
      <w:r w:rsidR="00DC7CFF">
        <w:t xml:space="preserve"> en </w:t>
      </w:r>
      <w:r w:rsidRPr="008A0395">
        <w:t>monitoring en evaluatie van de doelen en middelen is</w:t>
      </w:r>
      <w:r>
        <w:t xml:space="preserve"> voor mij van groot belang</w:t>
      </w:r>
      <w:r w:rsidRPr="008A0395">
        <w:t xml:space="preserve"> om zicht te hebben op de verwachte en bereikte resultaten en om beleid en uitvoering continu te verbeteren.</w:t>
      </w:r>
      <w:r>
        <w:t xml:space="preserve"> </w:t>
      </w:r>
      <w:r w:rsidR="007C1B52">
        <w:t xml:space="preserve">Ik stel per domein </w:t>
      </w:r>
      <w:r w:rsidR="007C1B52" w:rsidRPr="008A0395">
        <w:t>(</w:t>
      </w:r>
      <w:r w:rsidR="007C1B52" w:rsidRPr="001739E3">
        <w:t xml:space="preserve">Bèta, Techniek, Sociale </w:t>
      </w:r>
      <w:r w:rsidR="007C1B52">
        <w:t>en</w:t>
      </w:r>
      <w:r w:rsidR="007C1B52" w:rsidRPr="001739E3">
        <w:t xml:space="preserve"> Geesteswetenschappen, en </w:t>
      </w:r>
      <w:r w:rsidR="007C1B52">
        <w:t>Medische</w:t>
      </w:r>
      <w:r w:rsidR="007C1B52" w:rsidRPr="001739E3">
        <w:t xml:space="preserve"> </w:t>
      </w:r>
      <w:r w:rsidR="007C1B52">
        <w:t>en</w:t>
      </w:r>
      <w:r w:rsidR="007C1B52" w:rsidRPr="001739E3">
        <w:t xml:space="preserve"> Gezondheidswetenschappen</w:t>
      </w:r>
      <w:r w:rsidR="007C1B52" w:rsidRPr="008A0395">
        <w:t>)</w:t>
      </w:r>
      <w:r w:rsidR="007C1B52">
        <w:t xml:space="preserve"> monitoringscommissies in voor de monitoring en evaluatie van de sectorplannen.</w:t>
      </w:r>
      <w:r w:rsidRPr="008A0395">
        <w:t xml:space="preserve"> </w:t>
      </w:r>
      <w:r>
        <w:t>Er wordt</w:t>
      </w:r>
      <w:r w:rsidRPr="008A0395">
        <w:t xml:space="preserve"> aan</w:t>
      </w:r>
      <w:r>
        <w:t>gesloten bij</w:t>
      </w:r>
      <w:r w:rsidRPr="008A0395">
        <w:t xml:space="preserve"> de reeds bestaande monitoring- en evaluatiecyclus van de sectorplannen 2019-2024.</w:t>
      </w:r>
    </w:p>
    <w:p w14:paraId="04BDA5BD" w14:textId="77777777" w:rsidR="00F0181B" w:rsidRDefault="00F0181B" w:rsidP="00F0181B"/>
    <w:p w14:paraId="7A8C079E" w14:textId="1811C57B" w:rsidR="00F0181B" w:rsidRDefault="00F0181B" w:rsidP="00F0181B">
      <w:r>
        <w:t xml:space="preserve">Deze monitoring zal dus worden gedaan door de </w:t>
      </w:r>
      <w:r w:rsidR="00D4303D">
        <w:t>monitorings</w:t>
      </w:r>
      <w:r>
        <w:t>commissies Bèta en Techniek, Social Sciences and Humanities (SSH) en Medisch</w:t>
      </w:r>
      <w:r w:rsidR="007C1B52">
        <w:t>e en Gezondheidswetenschappen</w:t>
      </w:r>
      <w:r>
        <w:t>. Waarbij de commissies Bèta en Techniek, SSH een doorstart maken vanuit de bestaande sectorplannen en er een nieuwe commissie Medisch</w:t>
      </w:r>
      <w:r w:rsidR="007C1B52">
        <w:t>e en Gezondheidswetenschappen</w:t>
      </w:r>
      <w:r>
        <w:t xml:space="preserve"> zal starten. Na drie jaar voeren de domeinspecifieke </w:t>
      </w:r>
      <w:r w:rsidR="00D4303D">
        <w:t>monitorings</w:t>
      </w:r>
      <w:r>
        <w:t>commissies een tussentijdse evaluatie uit en na zes jaar de eindevaluatie. Na ieder evaluatiemoment brengen deze commissies advies aan mij uit over het vervolg.</w:t>
      </w:r>
    </w:p>
    <w:p w14:paraId="690D2EEF" w14:textId="77777777" w:rsidR="00F0181B" w:rsidRDefault="00F0181B" w:rsidP="00F0181B">
      <w:r w:rsidRPr="007851C4">
        <w:t xml:space="preserve"> </w:t>
      </w:r>
    </w:p>
    <w:p w14:paraId="39CE6E73" w14:textId="77777777" w:rsidR="00F0181B" w:rsidRDefault="00F0181B" w:rsidP="00F0181B">
      <w:r>
        <w:t>Ook zal er een</w:t>
      </w:r>
      <w:r w:rsidRPr="001739E3">
        <w:t xml:space="preserve"> derde advies </w:t>
      </w:r>
      <w:r>
        <w:t xml:space="preserve">door de NCSP </w:t>
      </w:r>
      <w:r w:rsidRPr="001739E3">
        <w:t xml:space="preserve">worden aangeboden in juli </w:t>
      </w:r>
      <w:r>
        <w:t>20</w:t>
      </w:r>
      <w:r w:rsidRPr="001739E3">
        <w:t xml:space="preserve">23 over </w:t>
      </w:r>
      <w:r>
        <w:t xml:space="preserve">onder andere </w:t>
      </w:r>
      <w:r w:rsidRPr="001739E3">
        <w:t>de volgende onderwerpen: het instrument sectorplannen,</w:t>
      </w:r>
      <w:r>
        <w:t xml:space="preserve"> een</w:t>
      </w:r>
      <w:r w:rsidRPr="001739E3">
        <w:t xml:space="preserve"> domeinoverstijgende overlegstructuur en omgang met domeinoverstijgende onderwerpen, implementatie en communicatie van de sectorplannen.</w:t>
      </w:r>
      <w:r>
        <w:t xml:space="preserve"> Dit alles beschouwend vanuit het instrument sectorplannen. </w:t>
      </w:r>
    </w:p>
    <w:p w14:paraId="3F7013A2" w14:textId="77777777" w:rsidR="00F0181B" w:rsidRDefault="00F0181B" w:rsidP="00F0181B"/>
    <w:p w14:paraId="22F1671C" w14:textId="77777777" w:rsidR="00437029" w:rsidRDefault="00F0181B" w:rsidP="00F0181B">
      <w:r>
        <w:t xml:space="preserve">Tot slot geef ik met deze toekenning van de totale sectorplanmiddelen een flinke impuls aan de investeringen in het wetenschappelijk onderwijs en onderzoek. Een zeer belangrijke mijlpaal en een mooi resultaat. </w:t>
      </w:r>
    </w:p>
    <w:p w14:paraId="29D64B26" w14:textId="77777777" w:rsidR="00437029" w:rsidRDefault="00437029" w:rsidP="00F0181B"/>
    <w:p w14:paraId="79241349" w14:textId="77777777" w:rsidR="00437029" w:rsidRDefault="00437029" w:rsidP="00F0181B"/>
    <w:p w14:paraId="150F5209" w14:textId="77777777" w:rsidR="00437029" w:rsidRDefault="00437029" w:rsidP="00F0181B"/>
    <w:p w14:paraId="35B1943B" w14:textId="33992438" w:rsidR="00F0181B" w:rsidRDefault="00F0181B" w:rsidP="00F0181B">
      <w:r>
        <w:lastRenderedPageBreak/>
        <w:t>Evenals bij de eerste toekenning wederom mijn dank en waardering voor het vele en goede werk dat door alle betrokkenen in de afgelopen jaar is verricht.</w:t>
      </w:r>
    </w:p>
    <w:p w14:paraId="745F1455" w14:textId="77777777" w:rsidR="0078750D" w:rsidRDefault="0078750D" w:rsidP="00F0181B"/>
    <w:p w14:paraId="70DAF2B7" w14:textId="77777777" w:rsidR="0078750D" w:rsidRDefault="0078750D" w:rsidP="00F0181B"/>
    <w:p w14:paraId="5774612C" w14:textId="1F39B301" w:rsidR="00F0181B" w:rsidRDefault="00F0181B" w:rsidP="00F0181B">
      <w:r>
        <w:t>De minister van Onderwijs, Cultuur en Wetenschap,</w:t>
      </w:r>
    </w:p>
    <w:p w14:paraId="26C0B56B" w14:textId="77777777" w:rsidR="00F0181B" w:rsidRDefault="00F0181B" w:rsidP="00F0181B"/>
    <w:p w14:paraId="49FC9AF1" w14:textId="77777777" w:rsidR="00F0181B" w:rsidRDefault="00F0181B" w:rsidP="00F0181B"/>
    <w:p w14:paraId="7AD0FDEB" w14:textId="77777777" w:rsidR="00F0181B" w:rsidRDefault="00F0181B" w:rsidP="00F0181B"/>
    <w:p w14:paraId="3EAA0F91" w14:textId="77777777" w:rsidR="00F0181B" w:rsidRDefault="00F0181B" w:rsidP="00F0181B"/>
    <w:p w14:paraId="07B1C21D" w14:textId="6B3F571A" w:rsidR="00F0181B" w:rsidRDefault="00F0181B" w:rsidP="00593E04">
      <w:pPr>
        <w:pStyle w:val="standaard-tekst"/>
      </w:pPr>
      <w:r>
        <w:t>Robbert Dijkgraaf</w:t>
      </w:r>
    </w:p>
    <w:p w14:paraId="2E388D3C" w14:textId="77777777" w:rsidR="00820DDA" w:rsidRPr="00820DDA" w:rsidRDefault="00820DDA" w:rsidP="00215964">
      <w:pPr>
        <w:spacing w:line="240" w:lineRule="auto"/>
      </w:pPr>
    </w:p>
    <w:sectPr w:rsidR="00820DDA" w:rsidRPr="00820DDA" w:rsidSect="002F493B">
      <w:headerReference w:type="even" r:id="rId7"/>
      <w:headerReference w:type="default" r:id="rId8"/>
      <w:footerReference w:type="even" r:id="rId9"/>
      <w:footerReference w:type="default" r:id="rId10"/>
      <w:headerReference w:type="first" r:id="rId11"/>
      <w:footerReference w:type="first" r:id="rId12"/>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F174F" w14:textId="77777777" w:rsidR="008D55D0" w:rsidRDefault="008A0395">
      <w:pPr>
        <w:spacing w:line="240" w:lineRule="auto"/>
      </w:pPr>
      <w:r>
        <w:separator/>
      </w:r>
    </w:p>
  </w:endnote>
  <w:endnote w:type="continuationSeparator" w:id="0">
    <w:p w14:paraId="70365A7A" w14:textId="77777777" w:rsidR="008D55D0" w:rsidRDefault="008A03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827C" w14:textId="77777777" w:rsidR="00DF63F3" w:rsidRDefault="00DF6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703D" w14:textId="77777777" w:rsidR="00527BD4" w:rsidRPr="00BC3B53" w:rsidRDefault="00527BD4" w:rsidP="008C356D">
    <w:pPr>
      <w:pStyle w:val="Footer"/>
      <w:spacing w:line="240" w:lineRule="auto"/>
      <w:rPr>
        <w:sz w:val="2"/>
        <w:szCs w:val="2"/>
      </w:rPr>
    </w:pPr>
  </w:p>
  <w:tbl>
    <w:tblPr>
      <w:tblW w:w="9769" w:type="dxa"/>
      <w:tblLook w:val="01E0" w:firstRow="1" w:lastRow="1" w:firstColumn="1" w:lastColumn="1" w:noHBand="0" w:noVBand="0"/>
    </w:tblPr>
    <w:tblGrid>
      <w:gridCol w:w="7598"/>
      <w:gridCol w:w="2171"/>
    </w:tblGrid>
    <w:tr w:rsidR="0093496C" w14:paraId="655E9D3B" w14:textId="77777777" w:rsidTr="004C7E1D">
      <w:trPr>
        <w:trHeight w:hRule="exact" w:val="357"/>
      </w:trPr>
      <w:tc>
        <w:tcPr>
          <w:tcW w:w="7603" w:type="dxa"/>
          <w:shd w:val="clear" w:color="auto" w:fill="auto"/>
        </w:tcPr>
        <w:p w14:paraId="3A83D56A" w14:textId="77777777" w:rsidR="002F71BB" w:rsidRPr="004C7E1D" w:rsidRDefault="002F71BB" w:rsidP="004C7E1D">
          <w:pPr>
            <w:spacing w:line="180" w:lineRule="exact"/>
            <w:rPr>
              <w:sz w:val="13"/>
              <w:szCs w:val="13"/>
            </w:rPr>
          </w:pPr>
        </w:p>
      </w:tc>
      <w:tc>
        <w:tcPr>
          <w:tcW w:w="2172" w:type="dxa"/>
          <w:shd w:val="clear" w:color="auto" w:fill="auto"/>
        </w:tcPr>
        <w:p w14:paraId="6E9F03B8" w14:textId="42154ABF" w:rsidR="002F71BB" w:rsidRPr="004C7E1D" w:rsidRDefault="008A0395"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A31FBB">
            <w:rPr>
              <w:szCs w:val="13"/>
            </w:rPr>
            <w:t>4</w:t>
          </w:r>
          <w:r w:rsidRPr="004C7E1D">
            <w:rPr>
              <w:szCs w:val="13"/>
            </w:rPr>
            <w:fldChar w:fldCharType="end"/>
          </w:r>
        </w:p>
      </w:tc>
    </w:tr>
  </w:tbl>
  <w:p w14:paraId="79C2D625" w14:textId="77777777"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9" w:type="dxa"/>
      <w:tblLook w:val="01E0" w:firstRow="1" w:lastRow="1" w:firstColumn="1" w:lastColumn="1" w:noHBand="0" w:noVBand="0"/>
    </w:tblPr>
    <w:tblGrid>
      <w:gridCol w:w="7709"/>
      <w:gridCol w:w="2060"/>
    </w:tblGrid>
    <w:tr w:rsidR="0093496C" w14:paraId="104628A9" w14:textId="77777777" w:rsidTr="004C7E1D">
      <w:trPr>
        <w:trHeight w:hRule="exact" w:val="357"/>
      </w:trPr>
      <w:tc>
        <w:tcPr>
          <w:tcW w:w="7709" w:type="dxa"/>
          <w:shd w:val="clear" w:color="auto" w:fill="auto"/>
        </w:tcPr>
        <w:p w14:paraId="6DE56936" w14:textId="77777777" w:rsidR="00D17084" w:rsidRPr="004C7E1D" w:rsidRDefault="00D17084" w:rsidP="004C7E1D">
          <w:pPr>
            <w:spacing w:line="180" w:lineRule="exact"/>
            <w:rPr>
              <w:sz w:val="13"/>
              <w:szCs w:val="13"/>
            </w:rPr>
          </w:pPr>
        </w:p>
      </w:tc>
      <w:tc>
        <w:tcPr>
          <w:tcW w:w="2060" w:type="dxa"/>
          <w:shd w:val="clear" w:color="auto" w:fill="auto"/>
        </w:tcPr>
        <w:p w14:paraId="15023208" w14:textId="69F54DE9" w:rsidR="00D17084" w:rsidRPr="004C7E1D" w:rsidRDefault="008A0395"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A31FBB">
            <w:rPr>
              <w:szCs w:val="13"/>
            </w:rPr>
            <w:t>4</w:t>
          </w:r>
          <w:r w:rsidRPr="004C7E1D">
            <w:rPr>
              <w:szCs w:val="13"/>
            </w:rPr>
            <w:fldChar w:fldCharType="end"/>
          </w:r>
        </w:p>
      </w:tc>
    </w:tr>
  </w:tbl>
  <w:p w14:paraId="6E92A75F"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F11C2" w14:textId="77777777" w:rsidR="008D55D0" w:rsidRDefault="008A0395">
      <w:pPr>
        <w:spacing w:line="240" w:lineRule="auto"/>
      </w:pPr>
      <w:r>
        <w:separator/>
      </w:r>
    </w:p>
  </w:footnote>
  <w:footnote w:type="continuationSeparator" w:id="0">
    <w:p w14:paraId="0E2E2838" w14:textId="77777777" w:rsidR="008D55D0" w:rsidRDefault="008A0395">
      <w:pPr>
        <w:spacing w:line="240" w:lineRule="auto"/>
      </w:pPr>
      <w:r>
        <w:continuationSeparator/>
      </w:r>
    </w:p>
  </w:footnote>
  <w:footnote w:id="1">
    <w:p w14:paraId="7F9512F2" w14:textId="77777777" w:rsidR="00F0181B" w:rsidRDefault="00F0181B" w:rsidP="00F0181B">
      <w:pPr>
        <w:pStyle w:val="FootnoteText"/>
      </w:pPr>
      <w:r>
        <w:rPr>
          <w:rStyle w:val="FootnoteReference"/>
        </w:rPr>
        <w:footnoteRef/>
      </w:r>
      <w:r>
        <w:t xml:space="preserve"> Kamerstuk 31288-985: </w:t>
      </w:r>
      <w:r w:rsidRPr="00501974">
        <w:t>https://www.tweedekamer.nl/kamerstukken/brieven_regering/detail?id=2022Z18569&amp;did=2022D39663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39FA" w14:textId="77777777" w:rsidR="00DF63F3" w:rsidRDefault="00DF6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18" w:type="dxa"/>
      <w:tblLayout w:type="fixed"/>
      <w:tblCellMar>
        <w:left w:w="0" w:type="dxa"/>
        <w:right w:w="0" w:type="dxa"/>
      </w:tblCellMar>
      <w:tblLook w:val="0000" w:firstRow="0" w:lastRow="0" w:firstColumn="0" w:lastColumn="0" w:noHBand="0" w:noVBand="0"/>
    </w:tblPr>
    <w:tblGrid>
      <w:gridCol w:w="7518"/>
    </w:tblGrid>
    <w:tr w:rsidR="0093496C" w14:paraId="594141A2" w14:textId="77777777" w:rsidTr="006D2D53">
      <w:trPr>
        <w:trHeight w:hRule="exact" w:val="400"/>
      </w:trPr>
      <w:tc>
        <w:tcPr>
          <w:tcW w:w="7518" w:type="dxa"/>
          <w:shd w:val="clear" w:color="auto" w:fill="auto"/>
        </w:tcPr>
        <w:p w14:paraId="5E2F579E" w14:textId="77777777" w:rsidR="00527BD4" w:rsidRPr="00275984" w:rsidRDefault="00527BD4" w:rsidP="00BF4427">
          <w:pPr>
            <w:pStyle w:val="Huisstijl-Rubricering"/>
          </w:pPr>
        </w:p>
      </w:tc>
    </w:tr>
  </w:tbl>
  <w:p w14:paraId="377FB9A5"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93496C" w14:paraId="7160D3BF" w14:textId="77777777" w:rsidTr="003B528D">
      <w:tc>
        <w:tcPr>
          <w:tcW w:w="2160" w:type="dxa"/>
          <w:shd w:val="clear" w:color="auto" w:fill="auto"/>
        </w:tcPr>
        <w:p w14:paraId="3A01C7F5" w14:textId="77777777" w:rsidR="002F71BB" w:rsidRPr="000407BB" w:rsidRDefault="008A0395" w:rsidP="005D283A">
          <w:pPr>
            <w:pStyle w:val="Colofonkop"/>
            <w:framePr w:hSpace="0" w:wrap="auto" w:vAnchor="margin" w:hAnchor="text" w:xAlign="left" w:yAlign="inline"/>
          </w:pPr>
          <w:r>
            <w:t>Onze referentie</w:t>
          </w:r>
        </w:p>
      </w:tc>
    </w:tr>
    <w:tr w:rsidR="0093496C" w14:paraId="15A2F56E" w14:textId="77777777" w:rsidTr="002F71BB">
      <w:trPr>
        <w:trHeight w:val="259"/>
      </w:trPr>
      <w:tc>
        <w:tcPr>
          <w:tcW w:w="2160" w:type="dxa"/>
          <w:shd w:val="clear" w:color="auto" w:fill="auto"/>
        </w:tcPr>
        <w:p w14:paraId="2AA84D1C" w14:textId="77777777" w:rsidR="00E35CF4" w:rsidRPr="005D283A" w:rsidRDefault="008A0395" w:rsidP="0049501A">
          <w:pPr>
            <w:spacing w:line="180" w:lineRule="exact"/>
            <w:rPr>
              <w:sz w:val="13"/>
              <w:szCs w:val="13"/>
            </w:rPr>
          </w:pPr>
          <w:r>
            <w:rPr>
              <w:sz w:val="13"/>
              <w:szCs w:val="13"/>
            </w:rPr>
            <w:t>36997036</w:t>
          </w:r>
        </w:p>
      </w:tc>
    </w:tr>
  </w:tbl>
  <w:p w14:paraId="27AE30AA"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93496C" w14:paraId="3433A97D" w14:textId="77777777" w:rsidTr="001377D4">
      <w:trPr>
        <w:trHeight w:val="2636"/>
      </w:trPr>
      <w:tc>
        <w:tcPr>
          <w:tcW w:w="737" w:type="dxa"/>
          <w:shd w:val="clear" w:color="auto" w:fill="auto"/>
        </w:tcPr>
        <w:p w14:paraId="49CA5B50"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731DDA23" w14:textId="77777777" w:rsidR="00704845" w:rsidRDefault="008A0395" w:rsidP="0047126E">
          <w:pPr>
            <w:framePr w:w="3873" w:h="2625" w:hRule="exact" w:wrap="around" w:vAnchor="page" w:hAnchor="page" w:x="6323" w:y="1"/>
          </w:pPr>
          <w:r>
            <w:rPr>
              <w:noProof/>
              <w:lang w:val="en-US" w:eastAsia="en-US"/>
            </w:rPr>
            <w:drawing>
              <wp:inline distT="0" distB="0" distL="0" distR="0" wp14:anchorId="6AF29021" wp14:editId="76902F4E">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135236"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5B4654E5" w14:textId="77777777" w:rsidR="00483ECA" w:rsidRDefault="00483ECA" w:rsidP="00D037A9"/>
      </w:tc>
    </w:tr>
  </w:tbl>
  <w:p w14:paraId="3CF9E126"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93496C" w14:paraId="6B76B7C0" w14:textId="77777777" w:rsidTr="0008539E">
      <w:trPr>
        <w:trHeight w:hRule="exact" w:val="572"/>
      </w:trPr>
      <w:tc>
        <w:tcPr>
          <w:tcW w:w="7520" w:type="dxa"/>
          <w:shd w:val="clear" w:color="auto" w:fill="auto"/>
        </w:tcPr>
        <w:p w14:paraId="593F463F" w14:textId="77777777" w:rsidR="00527BD4" w:rsidRPr="00963440" w:rsidRDefault="008A0395" w:rsidP="00210BA3">
          <w:pPr>
            <w:pStyle w:val="Huisstijl-Adres"/>
            <w:spacing w:after="0"/>
          </w:pPr>
          <w:r w:rsidRPr="009E3B07">
            <w:t>&gt;Retouradres </w:t>
          </w:r>
          <w:r>
            <w:t>Postbus 16375 2500 BJ Den Haag</w:t>
          </w:r>
          <w:r w:rsidRPr="009E3B07">
            <w:t xml:space="preserve"> </w:t>
          </w:r>
        </w:p>
      </w:tc>
    </w:tr>
    <w:tr w:rsidR="0093496C" w14:paraId="379F8869" w14:textId="77777777" w:rsidTr="00E776C6">
      <w:trPr>
        <w:cantSplit/>
        <w:trHeight w:hRule="exact" w:val="238"/>
      </w:trPr>
      <w:tc>
        <w:tcPr>
          <w:tcW w:w="7520" w:type="dxa"/>
          <w:shd w:val="clear" w:color="auto" w:fill="auto"/>
        </w:tcPr>
        <w:p w14:paraId="44742AEC" w14:textId="77777777" w:rsidR="00093ABC" w:rsidRPr="00963440" w:rsidRDefault="00093ABC" w:rsidP="00963440"/>
      </w:tc>
    </w:tr>
    <w:tr w:rsidR="0093496C" w14:paraId="1CEF6EA5" w14:textId="77777777" w:rsidTr="00E776C6">
      <w:trPr>
        <w:cantSplit/>
        <w:trHeight w:hRule="exact" w:val="1520"/>
      </w:trPr>
      <w:tc>
        <w:tcPr>
          <w:tcW w:w="7520" w:type="dxa"/>
          <w:shd w:val="clear" w:color="auto" w:fill="auto"/>
        </w:tcPr>
        <w:p w14:paraId="7E40F477" w14:textId="77777777" w:rsidR="00A604D3" w:rsidRPr="00963440" w:rsidRDefault="00A604D3" w:rsidP="00963440"/>
      </w:tc>
    </w:tr>
    <w:tr w:rsidR="0093496C" w14:paraId="17BA27A5" w14:textId="77777777" w:rsidTr="00E776C6">
      <w:trPr>
        <w:trHeight w:hRule="exact" w:val="1077"/>
      </w:trPr>
      <w:tc>
        <w:tcPr>
          <w:tcW w:w="7520" w:type="dxa"/>
          <w:shd w:val="clear" w:color="auto" w:fill="auto"/>
        </w:tcPr>
        <w:p w14:paraId="28747BB2" w14:textId="77777777" w:rsidR="00892BA5" w:rsidRPr="00035E67" w:rsidRDefault="00892BA5" w:rsidP="00892BA5">
          <w:pPr>
            <w:tabs>
              <w:tab w:val="left" w:pos="740"/>
            </w:tabs>
            <w:autoSpaceDE w:val="0"/>
            <w:autoSpaceDN w:val="0"/>
            <w:adjustRightInd w:val="0"/>
            <w:rPr>
              <w:rFonts w:cs="Verdana"/>
              <w:szCs w:val="18"/>
            </w:rPr>
          </w:pPr>
        </w:p>
      </w:tc>
    </w:tr>
  </w:tbl>
  <w:p w14:paraId="5B8F9F76" w14:textId="77777777" w:rsidR="006F273B" w:rsidRDefault="006F273B" w:rsidP="00BC4AE3">
    <w:pPr>
      <w:pStyle w:val="Header"/>
    </w:pPr>
  </w:p>
  <w:p w14:paraId="2FE54663" w14:textId="77777777" w:rsidR="00153BD0" w:rsidRDefault="00153BD0" w:rsidP="00BC4AE3">
    <w:pPr>
      <w:pStyle w:val="Header"/>
    </w:pPr>
  </w:p>
  <w:p w14:paraId="09CA199D" w14:textId="77777777" w:rsidR="0044605E" w:rsidRDefault="0044605E" w:rsidP="00BC4AE3">
    <w:pPr>
      <w:pStyle w:val="Header"/>
    </w:pPr>
  </w:p>
  <w:p w14:paraId="294540C0" w14:textId="77777777" w:rsidR="0044605E" w:rsidRDefault="0044605E" w:rsidP="00BC4AE3">
    <w:pPr>
      <w:pStyle w:val="Header"/>
    </w:pPr>
  </w:p>
  <w:p w14:paraId="60D1DFBD" w14:textId="77777777" w:rsidR="0044605E" w:rsidRDefault="0044605E" w:rsidP="00BC4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7B667F78">
      <w:start w:val="1"/>
      <w:numFmt w:val="bullet"/>
      <w:pStyle w:val="ListBullet"/>
      <w:lvlText w:val="•"/>
      <w:lvlJc w:val="left"/>
      <w:pPr>
        <w:tabs>
          <w:tab w:val="num" w:pos="227"/>
        </w:tabs>
        <w:ind w:left="227" w:hanging="227"/>
      </w:pPr>
      <w:rPr>
        <w:rFonts w:ascii="Verdana" w:hAnsi="Verdana" w:hint="default"/>
        <w:sz w:val="18"/>
        <w:szCs w:val="18"/>
      </w:rPr>
    </w:lvl>
    <w:lvl w:ilvl="1" w:tplc="9888469C" w:tentative="1">
      <w:start w:val="1"/>
      <w:numFmt w:val="bullet"/>
      <w:lvlText w:val="o"/>
      <w:lvlJc w:val="left"/>
      <w:pPr>
        <w:tabs>
          <w:tab w:val="num" w:pos="1440"/>
        </w:tabs>
        <w:ind w:left="1440" w:hanging="360"/>
      </w:pPr>
      <w:rPr>
        <w:rFonts w:ascii="Courier New" w:hAnsi="Courier New" w:cs="Courier New" w:hint="default"/>
      </w:rPr>
    </w:lvl>
    <w:lvl w:ilvl="2" w:tplc="473AE76E" w:tentative="1">
      <w:start w:val="1"/>
      <w:numFmt w:val="bullet"/>
      <w:lvlText w:val=""/>
      <w:lvlJc w:val="left"/>
      <w:pPr>
        <w:tabs>
          <w:tab w:val="num" w:pos="2160"/>
        </w:tabs>
        <w:ind w:left="2160" w:hanging="360"/>
      </w:pPr>
      <w:rPr>
        <w:rFonts w:ascii="Wingdings" w:hAnsi="Wingdings" w:hint="default"/>
      </w:rPr>
    </w:lvl>
    <w:lvl w:ilvl="3" w:tplc="17B2806E" w:tentative="1">
      <w:start w:val="1"/>
      <w:numFmt w:val="bullet"/>
      <w:lvlText w:val=""/>
      <w:lvlJc w:val="left"/>
      <w:pPr>
        <w:tabs>
          <w:tab w:val="num" w:pos="2880"/>
        </w:tabs>
        <w:ind w:left="2880" w:hanging="360"/>
      </w:pPr>
      <w:rPr>
        <w:rFonts w:ascii="Symbol" w:hAnsi="Symbol" w:hint="default"/>
      </w:rPr>
    </w:lvl>
    <w:lvl w:ilvl="4" w:tplc="9E9C49B6" w:tentative="1">
      <w:start w:val="1"/>
      <w:numFmt w:val="bullet"/>
      <w:lvlText w:val="o"/>
      <w:lvlJc w:val="left"/>
      <w:pPr>
        <w:tabs>
          <w:tab w:val="num" w:pos="3600"/>
        </w:tabs>
        <w:ind w:left="3600" w:hanging="360"/>
      </w:pPr>
      <w:rPr>
        <w:rFonts w:ascii="Courier New" w:hAnsi="Courier New" w:cs="Courier New" w:hint="default"/>
      </w:rPr>
    </w:lvl>
    <w:lvl w:ilvl="5" w:tplc="6344C1F0" w:tentative="1">
      <w:start w:val="1"/>
      <w:numFmt w:val="bullet"/>
      <w:lvlText w:val=""/>
      <w:lvlJc w:val="left"/>
      <w:pPr>
        <w:tabs>
          <w:tab w:val="num" w:pos="4320"/>
        </w:tabs>
        <w:ind w:left="4320" w:hanging="360"/>
      </w:pPr>
      <w:rPr>
        <w:rFonts w:ascii="Wingdings" w:hAnsi="Wingdings" w:hint="default"/>
      </w:rPr>
    </w:lvl>
    <w:lvl w:ilvl="6" w:tplc="A9B8AB4C" w:tentative="1">
      <w:start w:val="1"/>
      <w:numFmt w:val="bullet"/>
      <w:lvlText w:val=""/>
      <w:lvlJc w:val="left"/>
      <w:pPr>
        <w:tabs>
          <w:tab w:val="num" w:pos="5040"/>
        </w:tabs>
        <w:ind w:left="5040" w:hanging="360"/>
      </w:pPr>
      <w:rPr>
        <w:rFonts w:ascii="Symbol" w:hAnsi="Symbol" w:hint="default"/>
      </w:rPr>
    </w:lvl>
    <w:lvl w:ilvl="7" w:tplc="3626E1AA" w:tentative="1">
      <w:start w:val="1"/>
      <w:numFmt w:val="bullet"/>
      <w:lvlText w:val="o"/>
      <w:lvlJc w:val="left"/>
      <w:pPr>
        <w:tabs>
          <w:tab w:val="num" w:pos="5760"/>
        </w:tabs>
        <w:ind w:left="5760" w:hanging="360"/>
      </w:pPr>
      <w:rPr>
        <w:rFonts w:ascii="Courier New" w:hAnsi="Courier New" w:cs="Courier New" w:hint="default"/>
      </w:rPr>
    </w:lvl>
    <w:lvl w:ilvl="8" w:tplc="E70C77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5E06B6"/>
    <w:multiLevelType w:val="hybridMultilevel"/>
    <w:tmpl w:val="1D62BE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55FEF"/>
    <w:multiLevelType w:val="hybridMultilevel"/>
    <w:tmpl w:val="50F0923E"/>
    <w:lvl w:ilvl="0" w:tplc="0B122B3C">
      <w:start w:val="1"/>
      <w:numFmt w:val="bullet"/>
      <w:pStyle w:val="ListBullet2"/>
      <w:lvlText w:val="–"/>
      <w:lvlJc w:val="left"/>
      <w:pPr>
        <w:tabs>
          <w:tab w:val="num" w:pos="227"/>
        </w:tabs>
        <w:ind w:left="227" w:firstLine="0"/>
      </w:pPr>
      <w:rPr>
        <w:rFonts w:ascii="Verdana" w:hAnsi="Verdana" w:hint="default"/>
      </w:rPr>
    </w:lvl>
    <w:lvl w:ilvl="1" w:tplc="1BD2B9AE" w:tentative="1">
      <w:start w:val="1"/>
      <w:numFmt w:val="bullet"/>
      <w:lvlText w:val="o"/>
      <w:lvlJc w:val="left"/>
      <w:pPr>
        <w:tabs>
          <w:tab w:val="num" w:pos="1440"/>
        </w:tabs>
        <w:ind w:left="1440" w:hanging="360"/>
      </w:pPr>
      <w:rPr>
        <w:rFonts w:ascii="Courier New" w:hAnsi="Courier New" w:cs="Courier New" w:hint="default"/>
      </w:rPr>
    </w:lvl>
    <w:lvl w:ilvl="2" w:tplc="D01C4FE0" w:tentative="1">
      <w:start w:val="1"/>
      <w:numFmt w:val="bullet"/>
      <w:lvlText w:val=""/>
      <w:lvlJc w:val="left"/>
      <w:pPr>
        <w:tabs>
          <w:tab w:val="num" w:pos="2160"/>
        </w:tabs>
        <w:ind w:left="2160" w:hanging="360"/>
      </w:pPr>
      <w:rPr>
        <w:rFonts w:ascii="Wingdings" w:hAnsi="Wingdings" w:hint="default"/>
      </w:rPr>
    </w:lvl>
    <w:lvl w:ilvl="3" w:tplc="9EA0D698" w:tentative="1">
      <w:start w:val="1"/>
      <w:numFmt w:val="bullet"/>
      <w:lvlText w:val=""/>
      <w:lvlJc w:val="left"/>
      <w:pPr>
        <w:tabs>
          <w:tab w:val="num" w:pos="2880"/>
        </w:tabs>
        <w:ind w:left="2880" w:hanging="360"/>
      </w:pPr>
      <w:rPr>
        <w:rFonts w:ascii="Symbol" w:hAnsi="Symbol" w:hint="default"/>
      </w:rPr>
    </w:lvl>
    <w:lvl w:ilvl="4" w:tplc="40624D86" w:tentative="1">
      <w:start w:val="1"/>
      <w:numFmt w:val="bullet"/>
      <w:lvlText w:val="o"/>
      <w:lvlJc w:val="left"/>
      <w:pPr>
        <w:tabs>
          <w:tab w:val="num" w:pos="3600"/>
        </w:tabs>
        <w:ind w:left="3600" w:hanging="360"/>
      </w:pPr>
      <w:rPr>
        <w:rFonts w:ascii="Courier New" w:hAnsi="Courier New" w:cs="Courier New" w:hint="default"/>
      </w:rPr>
    </w:lvl>
    <w:lvl w:ilvl="5" w:tplc="957C55C4" w:tentative="1">
      <w:start w:val="1"/>
      <w:numFmt w:val="bullet"/>
      <w:lvlText w:val=""/>
      <w:lvlJc w:val="left"/>
      <w:pPr>
        <w:tabs>
          <w:tab w:val="num" w:pos="4320"/>
        </w:tabs>
        <w:ind w:left="4320" w:hanging="360"/>
      </w:pPr>
      <w:rPr>
        <w:rFonts w:ascii="Wingdings" w:hAnsi="Wingdings" w:hint="default"/>
      </w:rPr>
    </w:lvl>
    <w:lvl w:ilvl="6" w:tplc="9536B696" w:tentative="1">
      <w:start w:val="1"/>
      <w:numFmt w:val="bullet"/>
      <w:lvlText w:val=""/>
      <w:lvlJc w:val="left"/>
      <w:pPr>
        <w:tabs>
          <w:tab w:val="num" w:pos="5040"/>
        </w:tabs>
        <w:ind w:left="5040" w:hanging="360"/>
      </w:pPr>
      <w:rPr>
        <w:rFonts w:ascii="Symbol" w:hAnsi="Symbol" w:hint="default"/>
      </w:rPr>
    </w:lvl>
    <w:lvl w:ilvl="7" w:tplc="34E8FB8E" w:tentative="1">
      <w:start w:val="1"/>
      <w:numFmt w:val="bullet"/>
      <w:lvlText w:val="o"/>
      <w:lvlJc w:val="left"/>
      <w:pPr>
        <w:tabs>
          <w:tab w:val="num" w:pos="5760"/>
        </w:tabs>
        <w:ind w:left="5760" w:hanging="360"/>
      </w:pPr>
      <w:rPr>
        <w:rFonts w:ascii="Courier New" w:hAnsi="Courier New" w:cs="Courier New" w:hint="default"/>
      </w:rPr>
    </w:lvl>
    <w:lvl w:ilvl="8" w:tplc="1BB08B5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E41128"/>
    <w:multiLevelType w:val="hybridMultilevel"/>
    <w:tmpl w:val="CA162E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50267301">
    <w:abstractNumId w:val="10"/>
  </w:num>
  <w:num w:numId="2" w16cid:durableId="352659078">
    <w:abstractNumId w:val="7"/>
  </w:num>
  <w:num w:numId="3" w16cid:durableId="1931815315">
    <w:abstractNumId w:val="6"/>
  </w:num>
  <w:num w:numId="4" w16cid:durableId="890846469">
    <w:abstractNumId w:val="5"/>
  </w:num>
  <w:num w:numId="5" w16cid:durableId="773943514">
    <w:abstractNumId w:val="4"/>
  </w:num>
  <w:num w:numId="6" w16cid:durableId="908224674">
    <w:abstractNumId w:val="8"/>
  </w:num>
  <w:num w:numId="7" w16cid:durableId="180826153">
    <w:abstractNumId w:val="3"/>
  </w:num>
  <w:num w:numId="8" w16cid:durableId="233471769">
    <w:abstractNumId w:val="2"/>
  </w:num>
  <w:num w:numId="9" w16cid:durableId="769619083">
    <w:abstractNumId w:val="1"/>
  </w:num>
  <w:num w:numId="10" w16cid:durableId="1974288530">
    <w:abstractNumId w:val="0"/>
  </w:num>
  <w:num w:numId="11" w16cid:durableId="756245367">
    <w:abstractNumId w:val="9"/>
  </w:num>
  <w:num w:numId="12" w16cid:durableId="1577203109">
    <w:abstractNumId w:val="12"/>
  </w:num>
  <w:num w:numId="13" w16cid:durableId="316688331">
    <w:abstractNumId w:val="14"/>
  </w:num>
  <w:num w:numId="14" w16cid:durableId="1064792920">
    <w:abstractNumId w:val="13"/>
  </w:num>
  <w:num w:numId="15" w16cid:durableId="617639345">
    <w:abstractNumId w:val="11"/>
  </w:num>
  <w:num w:numId="16" w16cid:durableId="117429592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F9"/>
    <w:rsid w:val="00003185"/>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04B"/>
    <w:rsid w:val="0005447D"/>
    <w:rsid w:val="000546DE"/>
    <w:rsid w:val="0006024D"/>
    <w:rsid w:val="00062055"/>
    <w:rsid w:val="00065462"/>
    <w:rsid w:val="00065900"/>
    <w:rsid w:val="00071F28"/>
    <w:rsid w:val="00074079"/>
    <w:rsid w:val="000765B6"/>
    <w:rsid w:val="0008289C"/>
    <w:rsid w:val="0008539E"/>
    <w:rsid w:val="00092799"/>
    <w:rsid w:val="00092A99"/>
    <w:rsid w:val="00092C5F"/>
    <w:rsid w:val="00093ABC"/>
    <w:rsid w:val="00096680"/>
    <w:rsid w:val="000A0F36"/>
    <w:rsid w:val="000A174A"/>
    <w:rsid w:val="000A3E0A"/>
    <w:rsid w:val="000A65AC"/>
    <w:rsid w:val="000B7281"/>
    <w:rsid w:val="000B7FAB"/>
    <w:rsid w:val="000C1BA1"/>
    <w:rsid w:val="000C3EA9"/>
    <w:rsid w:val="000C4A32"/>
    <w:rsid w:val="000C65BB"/>
    <w:rsid w:val="000C7119"/>
    <w:rsid w:val="000D0225"/>
    <w:rsid w:val="000D249E"/>
    <w:rsid w:val="000D6399"/>
    <w:rsid w:val="000E5886"/>
    <w:rsid w:val="000E6621"/>
    <w:rsid w:val="000E7895"/>
    <w:rsid w:val="000F161D"/>
    <w:rsid w:val="000F1B4E"/>
    <w:rsid w:val="000F1FFF"/>
    <w:rsid w:val="000F521E"/>
    <w:rsid w:val="00100203"/>
    <w:rsid w:val="00104B4D"/>
    <w:rsid w:val="00105677"/>
    <w:rsid w:val="001177B4"/>
    <w:rsid w:val="00122CF9"/>
    <w:rsid w:val="00123704"/>
    <w:rsid w:val="001270C7"/>
    <w:rsid w:val="00132540"/>
    <w:rsid w:val="001377D4"/>
    <w:rsid w:val="00142E41"/>
    <w:rsid w:val="0014786A"/>
    <w:rsid w:val="001516A4"/>
    <w:rsid w:val="00151E5F"/>
    <w:rsid w:val="00153ABC"/>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4B30"/>
    <w:rsid w:val="00185576"/>
    <w:rsid w:val="00185951"/>
    <w:rsid w:val="00194A00"/>
    <w:rsid w:val="00196B8B"/>
    <w:rsid w:val="001A0BFA"/>
    <w:rsid w:val="001A1608"/>
    <w:rsid w:val="001A2BEA"/>
    <w:rsid w:val="001A325F"/>
    <w:rsid w:val="001A6D93"/>
    <w:rsid w:val="001B2BBA"/>
    <w:rsid w:val="001B35FA"/>
    <w:rsid w:val="001B7D91"/>
    <w:rsid w:val="001C006F"/>
    <w:rsid w:val="001C2C36"/>
    <w:rsid w:val="001C32EC"/>
    <w:rsid w:val="001C38BD"/>
    <w:rsid w:val="001C3BA7"/>
    <w:rsid w:val="001C4D5A"/>
    <w:rsid w:val="001E0256"/>
    <w:rsid w:val="001E34C6"/>
    <w:rsid w:val="001E5581"/>
    <w:rsid w:val="001F0FD5"/>
    <w:rsid w:val="001F1AD0"/>
    <w:rsid w:val="001F3C70"/>
    <w:rsid w:val="00200D88"/>
    <w:rsid w:val="00201C09"/>
    <w:rsid w:val="00201F68"/>
    <w:rsid w:val="00210BA3"/>
    <w:rsid w:val="00212F2A"/>
    <w:rsid w:val="00214F2B"/>
    <w:rsid w:val="00215356"/>
    <w:rsid w:val="00215964"/>
    <w:rsid w:val="00215D8B"/>
    <w:rsid w:val="00217880"/>
    <w:rsid w:val="00222D66"/>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3258"/>
    <w:rsid w:val="00286998"/>
    <w:rsid w:val="00291AB7"/>
    <w:rsid w:val="0029422B"/>
    <w:rsid w:val="00294DCB"/>
    <w:rsid w:val="002A06CE"/>
    <w:rsid w:val="002A37B5"/>
    <w:rsid w:val="002A65C7"/>
    <w:rsid w:val="002A6722"/>
    <w:rsid w:val="002B153C"/>
    <w:rsid w:val="002B52FC"/>
    <w:rsid w:val="002C26D0"/>
    <w:rsid w:val="002C2830"/>
    <w:rsid w:val="002C3CE0"/>
    <w:rsid w:val="002C40AF"/>
    <w:rsid w:val="002D001A"/>
    <w:rsid w:val="002D2118"/>
    <w:rsid w:val="002D28E2"/>
    <w:rsid w:val="002D317B"/>
    <w:rsid w:val="002D3587"/>
    <w:rsid w:val="002D3F4E"/>
    <w:rsid w:val="002D502D"/>
    <w:rsid w:val="002D6C72"/>
    <w:rsid w:val="002E0F69"/>
    <w:rsid w:val="002E1572"/>
    <w:rsid w:val="002E2142"/>
    <w:rsid w:val="002E2DA3"/>
    <w:rsid w:val="002E4CF2"/>
    <w:rsid w:val="002E6FC0"/>
    <w:rsid w:val="002F258D"/>
    <w:rsid w:val="002F3F37"/>
    <w:rsid w:val="002F493B"/>
    <w:rsid w:val="002F4ED5"/>
    <w:rsid w:val="002F5147"/>
    <w:rsid w:val="002F5A0B"/>
    <w:rsid w:val="002F71BB"/>
    <w:rsid w:val="002F7ABD"/>
    <w:rsid w:val="00305098"/>
    <w:rsid w:val="00307B3C"/>
    <w:rsid w:val="00310EF2"/>
    <w:rsid w:val="003115A6"/>
    <w:rsid w:val="00312597"/>
    <w:rsid w:val="00322836"/>
    <w:rsid w:val="00334154"/>
    <w:rsid w:val="003341D0"/>
    <w:rsid w:val="003372C4"/>
    <w:rsid w:val="00341FA0"/>
    <w:rsid w:val="00342374"/>
    <w:rsid w:val="00342DCF"/>
    <w:rsid w:val="00344F3D"/>
    <w:rsid w:val="00345299"/>
    <w:rsid w:val="00351A8D"/>
    <w:rsid w:val="003526BB"/>
    <w:rsid w:val="00352BCF"/>
    <w:rsid w:val="00353932"/>
    <w:rsid w:val="0035464B"/>
    <w:rsid w:val="00356D2B"/>
    <w:rsid w:val="00361A56"/>
    <w:rsid w:val="0036252A"/>
    <w:rsid w:val="00364D9D"/>
    <w:rsid w:val="00366576"/>
    <w:rsid w:val="00371048"/>
    <w:rsid w:val="0037396C"/>
    <w:rsid w:val="0037421D"/>
    <w:rsid w:val="00374412"/>
    <w:rsid w:val="00376093"/>
    <w:rsid w:val="0037715E"/>
    <w:rsid w:val="00383DA1"/>
    <w:rsid w:val="00385F30"/>
    <w:rsid w:val="00387600"/>
    <w:rsid w:val="0038765E"/>
    <w:rsid w:val="00393696"/>
    <w:rsid w:val="00393963"/>
    <w:rsid w:val="00395575"/>
    <w:rsid w:val="00395672"/>
    <w:rsid w:val="003A06C8"/>
    <w:rsid w:val="003A0D7C"/>
    <w:rsid w:val="003A7160"/>
    <w:rsid w:val="003B0155"/>
    <w:rsid w:val="003B09DB"/>
    <w:rsid w:val="003B4551"/>
    <w:rsid w:val="003B528D"/>
    <w:rsid w:val="003B7EE7"/>
    <w:rsid w:val="003C0BE4"/>
    <w:rsid w:val="003C2CCB"/>
    <w:rsid w:val="003C4A1C"/>
    <w:rsid w:val="003C5BCB"/>
    <w:rsid w:val="003D39EC"/>
    <w:rsid w:val="003D40EA"/>
    <w:rsid w:val="003E3DD5"/>
    <w:rsid w:val="003F07C6"/>
    <w:rsid w:val="003F1F6B"/>
    <w:rsid w:val="003F3757"/>
    <w:rsid w:val="003F44B7"/>
    <w:rsid w:val="004008E9"/>
    <w:rsid w:val="00407991"/>
    <w:rsid w:val="0041019E"/>
    <w:rsid w:val="00413D48"/>
    <w:rsid w:val="00424A60"/>
    <w:rsid w:val="00434042"/>
    <w:rsid w:val="00434500"/>
    <w:rsid w:val="00437029"/>
    <w:rsid w:val="00441AC2"/>
    <w:rsid w:val="0044249B"/>
    <w:rsid w:val="004425A7"/>
    <w:rsid w:val="0044605E"/>
    <w:rsid w:val="004479F7"/>
    <w:rsid w:val="0045023C"/>
    <w:rsid w:val="00451A5B"/>
    <w:rsid w:val="00452BCD"/>
    <w:rsid w:val="00452CEA"/>
    <w:rsid w:val="00463A63"/>
    <w:rsid w:val="00465B52"/>
    <w:rsid w:val="0046708E"/>
    <w:rsid w:val="00467D61"/>
    <w:rsid w:val="0047126E"/>
    <w:rsid w:val="004722BE"/>
    <w:rsid w:val="00472A65"/>
    <w:rsid w:val="00474463"/>
    <w:rsid w:val="00474B75"/>
    <w:rsid w:val="00483ECA"/>
    <w:rsid w:val="00483F0B"/>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07ED5"/>
    <w:rsid w:val="005107B1"/>
    <w:rsid w:val="00516022"/>
    <w:rsid w:val="00521CEE"/>
    <w:rsid w:val="00527BD4"/>
    <w:rsid w:val="00533061"/>
    <w:rsid w:val="00533FA1"/>
    <w:rsid w:val="00534C77"/>
    <w:rsid w:val="005403C8"/>
    <w:rsid w:val="00541AD9"/>
    <w:rsid w:val="005429DC"/>
    <w:rsid w:val="00544C37"/>
    <w:rsid w:val="005565F9"/>
    <w:rsid w:val="005639D2"/>
    <w:rsid w:val="00565739"/>
    <w:rsid w:val="00573041"/>
    <w:rsid w:val="00575B80"/>
    <w:rsid w:val="00577559"/>
    <w:rsid w:val="005819CE"/>
    <w:rsid w:val="0058298D"/>
    <w:rsid w:val="00590595"/>
    <w:rsid w:val="00593C2B"/>
    <w:rsid w:val="00593E04"/>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283A"/>
    <w:rsid w:val="005D625B"/>
    <w:rsid w:val="005E3322"/>
    <w:rsid w:val="005E436C"/>
    <w:rsid w:val="005E64E2"/>
    <w:rsid w:val="005F62D3"/>
    <w:rsid w:val="005F6D11"/>
    <w:rsid w:val="00600CF0"/>
    <w:rsid w:val="006048F4"/>
    <w:rsid w:val="0060660A"/>
    <w:rsid w:val="00610A24"/>
    <w:rsid w:val="00611855"/>
    <w:rsid w:val="00613B1D"/>
    <w:rsid w:val="00617311"/>
    <w:rsid w:val="00617A44"/>
    <w:rsid w:val="006202B6"/>
    <w:rsid w:val="006205C0"/>
    <w:rsid w:val="00623CB2"/>
    <w:rsid w:val="00625CD0"/>
    <w:rsid w:val="0062627D"/>
    <w:rsid w:val="00627432"/>
    <w:rsid w:val="00635031"/>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82E02"/>
    <w:rsid w:val="00685545"/>
    <w:rsid w:val="006864B3"/>
    <w:rsid w:val="00686AED"/>
    <w:rsid w:val="00692BA9"/>
    <w:rsid w:val="00692C30"/>
    <w:rsid w:val="00692D64"/>
    <w:rsid w:val="00697AEF"/>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0EF2"/>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3674"/>
    <w:rsid w:val="00754AD6"/>
    <w:rsid w:val="00754FBF"/>
    <w:rsid w:val="007615AC"/>
    <w:rsid w:val="00764585"/>
    <w:rsid w:val="00767FEF"/>
    <w:rsid w:val="007709EF"/>
    <w:rsid w:val="00783559"/>
    <w:rsid w:val="007846ED"/>
    <w:rsid w:val="007851C4"/>
    <w:rsid w:val="00785C3B"/>
    <w:rsid w:val="0078750D"/>
    <w:rsid w:val="00797AA5"/>
    <w:rsid w:val="007A26BD"/>
    <w:rsid w:val="007A4105"/>
    <w:rsid w:val="007A4F0E"/>
    <w:rsid w:val="007A514C"/>
    <w:rsid w:val="007B0D8E"/>
    <w:rsid w:val="007B4503"/>
    <w:rsid w:val="007B5E93"/>
    <w:rsid w:val="007C03C9"/>
    <w:rsid w:val="007C16D8"/>
    <w:rsid w:val="007C1B52"/>
    <w:rsid w:val="007C406E"/>
    <w:rsid w:val="007C5183"/>
    <w:rsid w:val="007C7573"/>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0DDA"/>
    <w:rsid w:val="00821114"/>
    <w:rsid w:val="008211EF"/>
    <w:rsid w:val="00821FC1"/>
    <w:rsid w:val="008267CC"/>
    <w:rsid w:val="0083178B"/>
    <w:rsid w:val="00833695"/>
    <w:rsid w:val="008336B7"/>
    <w:rsid w:val="00833A8E"/>
    <w:rsid w:val="0084255A"/>
    <w:rsid w:val="00842CD8"/>
    <w:rsid w:val="008431FA"/>
    <w:rsid w:val="008547BA"/>
    <w:rsid w:val="008553C7"/>
    <w:rsid w:val="00857783"/>
    <w:rsid w:val="00857FEB"/>
    <w:rsid w:val="008601AF"/>
    <w:rsid w:val="00872271"/>
    <w:rsid w:val="008731F6"/>
    <w:rsid w:val="00874982"/>
    <w:rsid w:val="008762B6"/>
    <w:rsid w:val="00883137"/>
    <w:rsid w:val="00892BA5"/>
    <w:rsid w:val="0089595A"/>
    <w:rsid w:val="008A039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D55D0"/>
    <w:rsid w:val="008E0B3F"/>
    <w:rsid w:val="008E1341"/>
    <w:rsid w:val="008E3932"/>
    <w:rsid w:val="008E49AD"/>
    <w:rsid w:val="008E698E"/>
    <w:rsid w:val="008F123F"/>
    <w:rsid w:val="008F2584"/>
    <w:rsid w:val="008F3246"/>
    <w:rsid w:val="008F3C1B"/>
    <w:rsid w:val="008F508C"/>
    <w:rsid w:val="0090271B"/>
    <w:rsid w:val="00910642"/>
    <w:rsid w:val="00910DDF"/>
    <w:rsid w:val="00921861"/>
    <w:rsid w:val="00923F3A"/>
    <w:rsid w:val="00924639"/>
    <w:rsid w:val="00925B64"/>
    <w:rsid w:val="0092611E"/>
    <w:rsid w:val="00926F1F"/>
    <w:rsid w:val="00926F4B"/>
    <w:rsid w:val="00930B13"/>
    <w:rsid w:val="009311C8"/>
    <w:rsid w:val="0093199F"/>
    <w:rsid w:val="00933376"/>
    <w:rsid w:val="00933A2F"/>
    <w:rsid w:val="0093496C"/>
    <w:rsid w:val="0094000D"/>
    <w:rsid w:val="00940206"/>
    <w:rsid w:val="00941B16"/>
    <w:rsid w:val="00946703"/>
    <w:rsid w:val="009528B2"/>
    <w:rsid w:val="009607C4"/>
    <w:rsid w:val="00962F2A"/>
    <w:rsid w:val="00963440"/>
    <w:rsid w:val="009716D8"/>
    <w:rsid w:val="009718F9"/>
    <w:rsid w:val="009724E4"/>
    <w:rsid w:val="00972FB9"/>
    <w:rsid w:val="00975112"/>
    <w:rsid w:val="009809A1"/>
    <w:rsid w:val="009812EB"/>
    <w:rsid w:val="00981768"/>
    <w:rsid w:val="009838BB"/>
    <w:rsid w:val="00983E8F"/>
    <w:rsid w:val="00992338"/>
    <w:rsid w:val="00994FDA"/>
    <w:rsid w:val="00997D15"/>
    <w:rsid w:val="009A102A"/>
    <w:rsid w:val="009A31BF"/>
    <w:rsid w:val="009A3B71"/>
    <w:rsid w:val="009A5914"/>
    <w:rsid w:val="009A61BC"/>
    <w:rsid w:val="009B0138"/>
    <w:rsid w:val="009B0FE9"/>
    <w:rsid w:val="009B173A"/>
    <w:rsid w:val="009B5846"/>
    <w:rsid w:val="009B601B"/>
    <w:rsid w:val="009C3F20"/>
    <w:rsid w:val="009C64FB"/>
    <w:rsid w:val="009C6E1E"/>
    <w:rsid w:val="009C7CA1"/>
    <w:rsid w:val="009D043D"/>
    <w:rsid w:val="009D716F"/>
    <w:rsid w:val="009E3B07"/>
    <w:rsid w:val="009F3259"/>
    <w:rsid w:val="009F541F"/>
    <w:rsid w:val="00A056DE"/>
    <w:rsid w:val="00A0678A"/>
    <w:rsid w:val="00A1289E"/>
    <w:rsid w:val="00A128AD"/>
    <w:rsid w:val="00A20730"/>
    <w:rsid w:val="00A21E76"/>
    <w:rsid w:val="00A23BC8"/>
    <w:rsid w:val="00A2531F"/>
    <w:rsid w:val="00A30E68"/>
    <w:rsid w:val="00A31933"/>
    <w:rsid w:val="00A31FBB"/>
    <w:rsid w:val="00A32073"/>
    <w:rsid w:val="00A34AA0"/>
    <w:rsid w:val="00A41FE2"/>
    <w:rsid w:val="00A421A1"/>
    <w:rsid w:val="00A46FEF"/>
    <w:rsid w:val="00A47948"/>
    <w:rsid w:val="00A50CF6"/>
    <w:rsid w:val="00A51C81"/>
    <w:rsid w:val="00A56850"/>
    <w:rsid w:val="00A56946"/>
    <w:rsid w:val="00A604D3"/>
    <w:rsid w:val="00A60B58"/>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C2D87"/>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0109"/>
    <w:rsid w:val="00B21FF9"/>
    <w:rsid w:val="00B220A5"/>
    <w:rsid w:val="00B2317A"/>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80DB6"/>
    <w:rsid w:val="00B81AD2"/>
    <w:rsid w:val="00B81AEC"/>
    <w:rsid w:val="00B85A66"/>
    <w:rsid w:val="00B85ED4"/>
    <w:rsid w:val="00B85F07"/>
    <w:rsid w:val="00B91CFC"/>
    <w:rsid w:val="00B93893"/>
    <w:rsid w:val="00BA439D"/>
    <w:rsid w:val="00BA7E0A"/>
    <w:rsid w:val="00BB61B0"/>
    <w:rsid w:val="00BC0D9E"/>
    <w:rsid w:val="00BC3B53"/>
    <w:rsid w:val="00BC3B96"/>
    <w:rsid w:val="00BC4AE3"/>
    <w:rsid w:val="00BC5B28"/>
    <w:rsid w:val="00BC7264"/>
    <w:rsid w:val="00BE17D4"/>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508"/>
    <w:rsid w:val="00C50E87"/>
    <w:rsid w:val="00C5258E"/>
    <w:rsid w:val="00C5333A"/>
    <w:rsid w:val="00C53BD7"/>
    <w:rsid w:val="00C54835"/>
    <w:rsid w:val="00C55923"/>
    <w:rsid w:val="00C619A7"/>
    <w:rsid w:val="00C64E34"/>
    <w:rsid w:val="00C6545E"/>
    <w:rsid w:val="00C7097A"/>
    <w:rsid w:val="00C736E8"/>
    <w:rsid w:val="00C73D5F"/>
    <w:rsid w:val="00C965EF"/>
    <w:rsid w:val="00C97C80"/>
    <w:rsid w:val="00CA1D00"/>
    <w:rsid w:val="00CA35E4"/>
    <w:rsid w:val="00CA47D3"/>
    <w:rsid w:val="00CA6533"/>
    <w:rsid w:val="00CA6A25"/>
    <w:rsid w:val="00CA6A3F"/>
    <w:rsid w:val="00CA7C99"/>
    <w:rsid w:val="00CC15DE"/>
    <w:rsid w:val="00CC6290"/>
    <w:rsid w:val="00CD233D"/>
    <w:rsid w:val="00CD362D"/>
    <w:rsid w:val="00CE101D"/>
    <w:rsid w:val="00CE1C84"/>
    <w:rsid w:val="00CE4E63"/>
    <w:rsid w:val="00CE5055"/>
    <w:rsid w:val="00CE6426"/>
    <w:rsid w:val="00CF053F"/>
    <w:rsid w:val="00CF1A17"/>
    <w:rsid w:val="00D0140D"/>
    <w:rsid w:val="00D01C92"/>
    <w:rsid w:val="00D030AB"/>
    <w:rsid w:val="00D037A9"/>
    <w:rsid w:val="00D0609E"/>
    <w:rsid w:val="00D078E1"/>
    <w:rsid w:val="00D100E9"/>
    <w:rsid w:val="00D17084"/>
    <w:rsid w:val="00D1791D"/>
    <w:rsid w:val="00D21E4B"/>
    <w:rsid w:val="00D22588"/>
    <w:rsid w:val="00D22689"/>
    <w:rsid w:val="00D23522"/>
    <w:rsid w:val="00D264D6"/>
    <w:rsid w:val="00D32A05"/>
    <w:rsid w:val="00D33144"/>
    <w:rsid w:val="00D33BF0"/>
    <w:rsid w:val="00D33F30"/>
    <w:rsid w:val="00D34892"/>
    <w:rsid w:val="00D36088"/>
    <w:rsid w:val="00D36447"/>
    <w:rsid w:val="00D41CE8"/>
    <w:rsid w:val="00D4303D"/>
    <w:rsid w:val="00D44B73"/>
    <w:rsid w:val="00D516BE"/>
    <w:rsid w:val="00D5423B"/>
    <w:rsid w:val="00D54F4E"/>
    <w:rsid w:val="00D604B3"/>
    <w:rsid w:val="00D60BA4"/>
    <w:rsid w:val="00D62419"/>
    <w:rsid w:val="00D62AD8"/>
    <w:rsid w:val="00D65336"/>
    <w:rsid w:val="00D66074"/>
    <w:rsid w:val="00D74F66"/>
    <w:rsid w:val="00D75B3F"/>
    <w:rsid w:val="00D77870"/>
    <w:rsid w:val="00D80977"/>
    <w:rsid w:val="00D80CCE"/>
    <w:rsid w:val="00D849AF"/>
    <w:rsid w:val="00D86CC6"/>
    <w:rsid w:val="00D86EEA"/>
    <w:rsid w:val="00D87D03"/>
    <w:rsid w:val="00D91E98"/>
    <w:rsid w:val="00D93170"/>
    <w:rsid w:val="00D9561B"/>
    <w:rsid w:val="00D95C88"/>
    <w:rsid w:val="00D97B2E"/>
    <w:rsid w:val="00DA1BA1"/>
    <w:rsid w:val="00DA241E"/>
    <w:rsid w:val="00DA51B5"/>
    <w:rsid w:val="00DB36FE"/>
    <w:rsid w:val="00DB38E3"/>
    <w:rsid w:val="00DB533A"/>
    <w:rsid w:val="00DB6307"/>
    <w:rsid w:val="00DC18F3"/>
    <w:rsid w:val="00DC2443"/>
    <w:rsid w:val="00DC691C"/>
    <w:rsid w:val="00DC7CFF"/>
    <w:rsid w:val="00DD0B9A"/>
    <w:rsid w:val="00DD1DCD"/>
    <w:rsid w:val="00DD338F"/>
    <w:rsid w:val="00DD3404"/>
    <w:rsid w:val="00DD66F2"/>
    <w:rsid w:val="00DE1EB5"/>
    <w:rsid w:val="00DE3FE0"/>
    <w:rsid w:val="00DE578A"/>
    <w:rsid w:val="00DF2583"/>
    <w:rsid w:val="00DF3E62"/>
    <w:rsid w:val="00DF4D7F"/>
    <w:rsid w:val="00DF4E80"/>
    <w:rsid w:val="00DF54D9"/>
    <w:rsid w:val="00DF63F3"/>
    <w:rsid w:val="00DF7283"/>
    <w:rsid w:val="00E01A59"/>
    <w:rsid w:val="00E0622C"/>
    <w:rsid w:val="00E0675E"/>
    <w:rsid w:val="00E10DC6"/>
    <w:rsid w:val="00E11F8E"/>
    <w:rsid w:val="00E13D95"/>
    <w:rsid w:val="00E14AA3"/>
    <w:rsid w:val="00E15881"/>
    <w:rsid w:val="00E16A8F"/>
    <w:rsid w:val="00E17CA2"/>
    <w:rsid w:val="00E20C25"/>
    <w:rsid w:val="00E21DE3"/>
    <w:rsid w:val="00E22035"/>
    <w:rsid w:val="00E233D5"/>
    <w:rsid w:val="00E307D1"/>
    <w:rsid w:val="00E35710"/>
    <w:rsid w:val="00E35CF4"/>
    <w:rsid w:val="00E3731D"/>
    <w:rsid w:val="00E37811"/>
    <w:rsid w:val="00E468E4"/>
    <w:rsid w:val="00E51469"/>
    <w:rsid w:val="00E54114"/>
    <w:rsid w:val="00E62709"/>
    <w:rsid w:val="00E634E3"/>
    <w:rsid w:val="00E717C4"/>
    <w:rsid w:val="00E74D10"/>
    <w:rsid w:val="00E776C6"/>
    <w:rsid w:val="00E77F89"/>
    <w:rsid w:val="00E80E71"/>
    <w:rsid w:val="00E81589"/>
    <w:rsid w:val="00E850D3"/>
    <w:rsid w:val="00E853D6"/>
    <w:rsid w:val="00E8544F"/>
    <w:rsid w:val="00E85A1B"/>
    <w:rsid w:val="00E876B9"/>
    <w:rsid w:val="00E91B40"/>
    <w:rsid w:val="00E91F7C"/>
    <w:rsid w:val="00E94D82"/>
    <w:rsid w:val="00E972A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1557"/>
    <w:rsid w:val="00F0181B"/>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1A76"/>
    <w:rsid w:val="00F53862"/>
    <w:rsid w:val="00F53C9D"/>
    <w:rsid w:val="00F53F91"/>
    <w:rsid w:val="00F54B9F"/>
    <w:rsid w:val="00F61569"/>
    <w:rsid w:val="00F61A72"/>
    <w:rsid w:val="00F61E7C"/>
    <w:rsid w:val="00F62B67"/>
    <w:rsid w:val="00F66F13"/>
    <w:rsid w:val="00F7145D"/>
    <w:rsid w:val="00F71B5E"/>
    <w:rsid w:val="00F74073"/>
    <w:rsid w:val="00F75603"/>
    <w:rsid w:val="00F77BE5"/>
    <w:rsid w:val="00F845B4"/>
    <w:rsid w:val="00F8713B"/>
    <w:rsid w:val="00F904FB"/>
    <w:rsid w:val="00F93F9E"/>
    <w:rsid w:val="00F950BC"/>
    <w:rsid w:val="00F9561A"/>
    <w:rsid w:val="00FA2B20"/>
    <w:rsid w:val="00FA2CD7"/>
    <w:rsid w:val="00FA5AD5"/>
    <w:rsid w:val="00FA7882"/>
    <w:rsid w:val="00FB06ED"/>
    <w:rsid w:val="00FC08A4"/>
    <w:rsid w:val="00FC202F"/>
    <w:rsid w:val="00FC3165"/>
    <w:rsid w:val="00FC36AB"/>
    <w:rsid w:val="00FC4300"/>
    <w:rsid w:val="00FC7F66"/>
    <w:rsid w:val="00FD5776"/>
    <w:rsid w:val="00FD6A55"/>
    <w:rsid w:val="00FD6CF9"/>
    <w:rsid w:val="00FE1CB6"/>
    <w:rsid w:val="00FE486B"/>
    <w:rsid w:val="00FE4F08"/>
    <w:rsid w:val="00FF192E"/>
    <w:rsid w:val="00FF3C8D"/>
    <w:rsid w:val="00FF66F9"/>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855D9"/>
  <w15:docId w15:val="{0F6F8412-CB50-40E3-B479-1CCA8894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C2D"/>
    <w:pPr>
      <w:spacing w:line="240" w:lineRule="atLeast"/>
    </w:pPr>
    <w:rPr>
      <w:rFonts w:ascii="Verdana" w:hAnsi="Verdana"/>
      <w:sz w:val="18"/>
      <w:szCs w:val="24"/>
      <w:lang w:val="nl-NL" w:eastAsia="nl-NL"/>
    </w:rPr>
  </w:style>
  <w:style w:type="paragraph" w:styleId="Heading1">
    <w:name w:val="heading 1"/>
    <w:basedOn w:val="Normal"/>
    <w:next w:val="Normal"/>
    <w:link w:val="Heading1Char"/>
    <w:qFormat/>
    <w:rsid w:val="00023E9A"/>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023E9A"/>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023E9A"/>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3E9A"/>
    <w:pPr>
      <w:tabs>
        <w:tab w:val="center" w:pos="4536"/>
        <w:tab w:val="right" w:pos="9072"/>
      </w:tabs>
    </w:pPr>
  </w:style>
  <w:style w:type="paragraph" w:styleId="Footer">
    <w:name w:val="footer"/>
    <w:basedOn w:val="Normal"/>
    <w:link w:val="FooterChar"/>
    <w:rsid w:val="00023E9A"/>
    <w:pPr>
      <w:tabs>
        <w:tab w:val="center" w:pos="4536"/>
        <w:tab w:val="right" w:pos="9072"/>
      </w:tabs>
    </w:pPr>
  </w:style>
  <w:style w:type="table" w:styleId="TableGrid">
    <w:name w:val="Table Grid"/>
    <w:basedOn w:val="TableNorma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Normal"/>
    <w:rsid w:val="00EE4C2D"/>
    <w:pPr>
      <w:adjustRightInd w:val="0"/>
      <w:spacing w:line="180" w:lineRule="exact"/>
    </w:pPr>
    <w:rPr>
      <w:rFonts w:cs="Verdana"/>
      <w:noProof/>
      <w:sz w:val="13"/>
      <w:szCs w:val="18"/>
    </w:rPr>
  </w:style>
  <w:style w:type="paragraph" w:customStyle="1" w:styleId="Huisstijl-Adres">
    <w:name w:val="Huisstijl-Adres"/>
    <w:basedOn w:val="Normal"/>
    <w:link w:val="Huisstijl-AdresChar"/>
    <w:rsid w:val="00575B80"/>
    <w:pPr>
      <w:tabs>
        <w:tab w:val="left" w:pos="192"/>
      </w:tabs>
      <w:adjustRightInd w:val="0"/>
      <w:spacing w:after="90" w:line="180" w:lineRule="exact"/>
    </w:pPr>
    <w:rPr>
      <w:rFonts w:cs="Verdana"/>
      <w:noProof/>
      <w:sz w:val="13"/>
      <w:szCs w:val="13"/>
    </w:rPr>
  </w:style>
  <w:style w:type="paragraph" w:styleId="ListBullet">
    <w:name w:val="List Bullet"/>
    <w:basedOn w:val="Normal"/>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Normal"/>
    <w:rsid w:val="000B7FAB"/>
    <w:pPr>
      <w:adjustRightInd w:val="0"/>
      <w:spacing w:line="180" w:lineRule="exact"/>
    </w:pPr>
    <w:rPr>
      <w:rFonts w:cs="Verdana-Bold"/>
      <w:b/>
      <w:bCs/>
      <w:smallCaps/>
      <w:noProof/>
      <w:sz w:val="13"/>
      <w:szCs w:val="13"/>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0B7FAB"/>
    <w:pPr>
      <w:spacing w:line="180" w:lineRule="exact"/>
    </w:pPr>
    <w:rPr>
      <w:noProof/>
      <w:sz w:val="13"/>
    </w:rPr>
  </w:style>
  <w:style w:type="character" w:styleId="FollowedHyperlink">
    <w:name w:val="FollowedHyperlink"/>
    <w:rsid w:val="006A2100"/>
    <w:rPr>
      <w:color w:val="800080"/>
      <w:u w:val="single"/>
    </w:rPr>
  </w:style>
  <w:style w:type="paragraph" w:styleId="ListBullet2">
    <w:name w:val="List Bullet 2"/>
    <w:basedOn w:val="Normal"/>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onText">
    <w:name w:val="Balloon Text"/>
    <w:basedOn w:val="Normal"/>
    <w:link w:val="BalloonTex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Normal"/>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Normal"/>
    <w:next w:val="Normal"/>
    <w:qFormat/>
    <w:rsid w:val="007A514C"/>
    <w:pPr>
      <w:pageBreakBefore/>
      <w:tabs>
        <w:tab w:val="left" w:pos="227"/>
        <w:tab w:val="left" w:pos="454"/>
        <w:tab w:val="left" w:pos="680"/>
      </w:tabs>
      <w:autoSpaceDE w:val="0"/>
      <w:autoSpaceDN w:val="0"/>
      <w:adjustRightInd w:val="0"/>
    </w:pPr>
    <w:rPr>
      <w:b/>
      <w:szCs w:val="18"/>
    </w:rPr>
  </w:style>
  <w:style w:type="paragraph" w:styleId="FootnoteText">
    <w:name w:val="footnote text"/>
    <w:basedOn w:val="Normal"/>
    <w:semiHidden/>
    <w:rsid w:val="004F5D15"/>
    <w:rPr>
      <w:sz w:val="13"/>
      <w:szCs w:val="20"/>
    </w:rPr>
  </w:style>
  <w:style w:type="paragraph" w:customStyle="1" w:styleId="standaard-tekst">
    <w:name w:val="standaard-tekst"/>
    <w:basedOn w:val="Normal"/>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onTextChar">
    <w:name w:val="Balloon Text Char"/>
    <w:basedOn w:val="DefaultParagraphFont"/>
    <w:link w:val="BalloonText"/>
    <w:rsid w:val="00BC1830"/>
    <w:rPr>
      <w:rFonts w:ascii="Tahoma" w:hAnsi="Tahoma" w:cs="Tahoma"/>
      <w:sz w:val="16"/>
      <w:szCs w:val="16"/>
      <w:lang w:val="nl-NL" w:eastAsia="nl-NL"/>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DefaultParagraphFont"/>
    <w:rsid w:val="008E3932"/>
    <w:rPr>
      <w:color w:val="000000"/>
      <w:sz w:val="24"/>
      <w:szCs w:val="24"/>
    </w:rPr>
  </w:style>
  <w:style w:type="character" w:customStyle="1" w:styleId="HeaderChar">
    <w:name w:val="Header Char"/>
    <w:basedOn w:val="DefaultParagraphFont"/>
    <w:link w:val="Header"/>
    <w:uiPriority w:val="99"/>
    <w:rsid w:val="00215356"/>
  </w:style>
  <w:style w:type="character" w:customStyle="1" w:styleId="Heading1Char">
    <w:name w:val="Heading 1 Char"/>
    <w:basedOn w:val="DefaultParagraphFont"/>
    <w:link w:val="Heading1"/>
    <w:rsid w:val="00841CD9"/>
    <w:rPr>
      <w:rFonts w:eastAsia="Times New Roman" w:cs="Arial"/>
      <w:b/>
      <w:bCs/>
      <w:kern w:val="32"/>
      <w:sz w:val="32"/>
      <w:szCs w:val="32"/>
      <w:lang w:val="nl-NL" w:eastAsia="nl-NL"/>
    </w:rPr>
  </w:style>
  <w:style w:type="character" w:customStyle="1" w:styleId="Heading2Char">
    <w:name w:val="Heading 2 Char"/>
    <w:basedOn w:val="DefaultParagraphFont"/>
    <w:link w:val="Heading2"/>
    <w:rsid w:val="00841CD9"/>
    <w:rPr>
      <w:rFonts w:eastAsia="Times New Roman" w:cs="Arial"/>
      <w:b/>
      <w:bCs/>
      <w:i/>
      <w:iCs/>
      <w:sz w:val="28"/>
      <w:szCs w:val="28"/>
      <w:lang w:val="nl-NL" w:eastAsia="nl-NL"/>
    </w:rPr>
  </w:style>
  <w:style w:type="character" w:customStyle="1" w:styleId="Heading3Char">
    <w:name w:val="Heading 3 Char"/>
    <w:basedOn w:val="DefaultParagraphFont"/>
    <w:link w:val="Heading3"/>
    <w:rsid w:val="00841CD9"/>
    <w:rPr>
      <w:rFonts w:eastAsia="Times New Roman" w:cs="Arial"/>
      <w:b/>
      <w:bCs/>
      <w:sz w:val="26"/>
      <w:szCs w:val="26"/>
      <w:lang w:val="nl-NL" w:eastAsia="nl-NL"/>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customStyle="1" w:styleId="FooterChar">
    <w:name w:val="Footer Char"/>
    <w:basedOn w:val="DefaultParagraphFont"/>
    <w:link w:val="Footer"/>
    <w:rsid w:val="003A7160"/>
    <w:rPr>
      <w:rFonts w:eastAsia="Times New Roman" w:cs="Times New Roman"/>
      <w:lang w:val="nl-NL" w:eastAsia="nl-NL"/>
    </w:rPr>
  </w:style>
  <w:style w:type="character" w:styleId="CommentReference">
    <w:name w:val="annotation reference"/>
    <w:basedOn w:val="DefaultParagraphFont"/>
    <w:semiHidden/>
    <w:unhideWhenUsed/>
    <w:rsid w:val="009809A1"/>
    <w:rPr>
      <w:sz w:val="16"/>
      <w:szCs w:val="16"/>
    </w:rPr>
  </w:style>
  <w:style w:type="paragraph" w:styleId="CommentText">
    <w:name w:val="annotation text"/>
    <w:basedOn w:val="Normal"/>
    <w:link w:val="CommentTextChar"/>
    <w:semiHidden/>
    <w:unhideWhenUsed/>
    <w:rsid w:val="009809A1"/>
    <w:pPr>
      <w:spacing w:line="240" w:lineRule="auto"/>
    </w:pPr>
    <w:rPr>
      <w:sz w:val="20"/>
      <w:szCs w:val="20"/>
    </w:rPr>
  </w:style>
  <w:style w:type="character" w:customStyle="1" w:styleId="CommentTextChar">
    <w:name w:val="Comment Text Char"/>
    <w:basedOn w:val="DefaultParagraphFont"/>
    <w:link w:val="CommentText"/>
    <w:semiHidden/>
    <w:rsid w:val="009809A1"/>
    <w:rPr>
      <w:rFonts w:ascii="Verdana" w:hAnsi="Verdana"/>
      <w:lang w:val="nl-NL" w:eastAsia="nl-NL"/>
    </w:rPr>
  </w:style>
  <w:style w:type="paragraph" w:styleId="CommentSubject">
    <w:name w:val="annotation subject"/>
    <w:basedOn w:val="CommentText"/>
    <w:next w:val="CommentText"/>
    <w:link w:val="CommentSubjectChar"/>
    <w:semiHidden/>
    <w:unhideWhenUsed/>
    <w:rsid w:val="009809A1"/>
    <w:rPr>
      <w:b/>
      <w:bCs/>
    </w:rPr>
  </w:style>
  <w:style w:type="character" w:customStyle="1" w:styleId="CommentSubjectChar">
    <w:name w:val="Comment Subject Char"/>
    <w:basedOn w:val="CommentTextChar"/>
    <w:link w:val="CommentSubject"/>
    <w:semiHidden/>
    <w:rsid w:val="009809A1"/>
    <w:rPr>
      <w:rFonts w:ascii="Verdana" w:hAnsi="Verdana"/>
      <w:b/>
      <w:bCs/>
      <w:lang w:val="nl-NL" w:eastAsia="nl-NL"/>
    </w:rPr>
  </w:style>
  <w:style w:type="character" w:styleId="FootnoteReference">
    <w:name w:val="footnote reference"/>
    <w:basedOn w:val="DefaultParagraphFont"/>
    <w:semiHidden/>
    <w:unhideWhenUsed/>
    <w:rsid w:val="00F0181B"/>
    <w:rPr>
      <w:vertAlign w:val="superscript"/>
    </w:rPr>
  </w:style>
  <w:style w:type="paragraph" w:styleId="ListParagraph">
    <w:name w:val="List Paragraph"/>
    <w:basedOn w:val="Normal"/>
    <w:uiPriority w:val="34"/>
    <w:qFormat/>
    <w:rsid w:val="00366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1969">
      <w:bodyDiv w:val="1"/>
      <w:marLeft w:val="0"/>
      <w:marRight w:val="0"/>
      <w:marTop w:val="0"/>
      <w:marBottom w:val="0"/>
      <w:divBdr>
        <w:top w:val="none" w:sz="0" w:space="0" w:color="auto"/>
        <w:left w:val="none" w:sz="0" w:space="0" w:color="auto"/>
        <w:bottom w:val="none" w:sz="0" w:space="0" w:color="auto"/>
        <w:right w:val="none" w:sz="0" w:space="0" w:color="auto"/>
      </w:divBdr>
    </w:div>
    <w:div w:id="1453816497">
      <w:bodyDiv w:val="1"/>
      <w:marLeft w:val="0"/>
      <w:marRight w:val="0"/>
      <w:marTop w:val="0"/>
      <w:marBottom w:val="0"/>
      <w:divBdr>
        <w:top w:val="none" w:sz="0" w:space="0" w:color="auto"/>
        <w:left w:val="none" w:sz="0" w:space="0" w:color="auto"/>
        <w:bottom w:val="none" w:sz="0" w:space="0" w:color="auto"/>
        <w:right w:val="none" w:sz="0" w:space="0" w:color="auto"/>
      </w:divBdr>
    </w:div>
    <w:div w:id="175820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7736</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vt:lpstr>
    </vt:vector>
  </TitlesOfParts>
  <Company>Utrecht University</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Hesdahl, R.E. (Rian)</dc:creator>
  <cp:keywords/>
  <dc:description>------------------------</dc:description>
  <cp:lastModifiedBy>Hesdahl, R.E. (Rian)</cp:lastModifiedBy>
  <cp:revision>2</cp:revision>
  <cp:lastPrinted>2023-04-06T12:48:00Z</cp:lastPrinted>
  <dcterms:created xsi:type="dcterms:W3CDTF">2023-04-18T10:51:00Z</dcterms:created>
  <dcterms:modified xsi:type="dcterms:W3CDTF">2023-04-18T10:51:00Z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O219STR</vt:lpwstr>
  </property>
  <property fmtid="{D5CDD505-2E9C-101B-9397-08002B2CF9AE}" pid="3" name="Author">
    <vt:lpwstr>O219STR</vt:lpwstr>
  </property>
  <property fmtid="{D5CDD505-2E9C-101B-9397-08002B2CF9AE}" pid="4" name="cs_objectid">
    <vt:lpwstr> </vt:lpwstr>
  </property>
  <property fmtid="{D5CDD505-2E9C-101B-9397-08002B2CF9AE}" pid="5" name="E-doc documentnummer">
    <vt:lpwstr> </vt:lpwstr>
  </property>
  <property fmtid="{D5CDD505-2E9C-101B-9397-08002B2CF9AE}" pid="6" name="Header">
    <vt:lpwstr>Brief (Nederlands)</vt:lpwstr>
  </property>
  <property fmtid="{D5CDD505-2E9C-101B-9397-08002B2CF9AE}" pid="7" name="HeaderId">
    <vt:lpwstr>7211C1274F7C45348662797CA070226C</vt:lpwstr>
  </property>
  <property fmtid="{D5CDD505-2E9C-101B-9397-08002B2CF9AE}" pid="8" name="ocw_betreft">
    <vt:lpwstr>Toekenning €200 miljoen structureel aan sectorplanmiddelen </vt:lpwstr>
  </property>
  <property fmtid="{D5CDD505-2E9C-101B-9397-08002B2CF9AE}" pid="9" name="ocw_directie">
    <vt:lpwstr>OWB/A</vt:lpwstr>
  </property>
  <property fmtid="{D5CDD505-2E9C-101B-9397-08002B2CF9AE}" pid="10" name="ocw_naw_adres">
    <vt:lpwstr>Postbus 20018</vt:lpwstr>
  </property>
  <property fmtid="{D5CDD505-2E9C-101B-9397-08002B2CF9AE}" pid="11" name="ocw_naw_org">
    <vt:lpwstr>Tweede Kamer der Staten-Generaal</vt:lpwstr>
  </property>
  <property fmtid="{D5CDD505-2E9C-101B-9397-08002B2CF9AE}" pid="12" name="ocw_naw_postc">
    <vt:lpwstr>2500 EA</vt:lpwstr>
  </property>
  <property fmtid="{D5CDD505-2E9C-101B-9397-08002B2CF9AE}" pid="13" name="ocw_naw_woonplaats">
    <vt:lpwstr>DEN HAAG</vt:lpwstr>
  </property>
  <property fmtid="{D5CDD505-2E9C-101B-9397-08002B2CF9AE}" pid="14" name="sjabloon.edocs.documenttype">
    <vt:lpwstr>BRIEF</vt:lpwstr>
  </property>
  <property fmtid="{D5CDD505-2E9C-101B-9397-08002B2CF9AE}" pid="15" name="sjabloon.edocs.richting">
    <vt:lpwstr>UITGAAND</vt:lpwstr>
  </property>
  <property fmtid="{D5CDD505-2E9C-101B-9397-08002B2CF9AE}" pid="16" name="Template">
    <vt:lpwstr>Initiatiefbrief aan de Eerste/Tweede Kamer</vt:lpwstr>
  </property>
  <property fmtid="{D5CDD505-2E9C-101B-9397-08002B2CF9AE}" pid="17" name="TemplateId">
    <vt:lpwstr>E6E943B1C7854D4D80FEAF0D1463D6A0</vt:lpwstr>
  </property>
  <property fmtid="{D5CDD505-2E9C-101B-9397-08002B2CF9AE}" pid="18" name="Typist">
    <vt:lpwstr>O219STR</vt:lpwstr>
  </property>
</Properties>
</file>